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34" w:rsidRPr="00DC2CE0" w:rsidRDefault="00E04149" w:rsidP="00AF16F6">
      <w:pPr>
        <w:jc w:val="both"/>
      </w:pPr>
      <w:bookmarkStart w:id="0" w:name="_GoBack"/>
      <w:bookmarkEnd w:id="0"/>
      <w:r w:rsidRPr="00DC2CE0">
        <w:rPr>
          <w:noProof/>
          <w:lang w:val="en-US" w:eastAsia="en-US"/>
        </w:rPr>
        <w:drawing>
          <wp:inline distT="0" distB="0" distL="0" distR="0" wp14:anchorId="01AB3F57" wp14:editId="21A98AF4">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A6347" w:rsidRPr="00DC2CE0" w:rsidRDefault="000A6347" w:rsidP="00AC0BA5">
      <w:pPr>
        <w:jc w:val="right"/>
        <w:rPr>
          <w:noProof/>
          <w:lang w:eastAsia="en-US"/>
        </w:rPr>
      </w:pPr>
    </w:p>
    <w:p w:rsidR="00B05134" w:rsidRPr="00DC2CE0" w:rsidRDefault="00B05134" w:rsidP="002A7C24">
      <w:pPr>
        <w:jc w:val="center"/>
        <w:rPr>
          <w:b/>
          <w:bCs/>
        </w:rPr>
      </w:pPr>
      <w:r w:rsidRPr="00DC2CE0">
        <w:rPr>
          <w:b/>
          <w:bCs/>
        </w:rPr>
        <w:t>OPINION</w:t>
      </w:r>
    </w:p>
    <w:p w:rsidR="00B05134" w:rsidRPr="00DC2CE0" w:rsidRDefault="00B05134" w:rsidP="00AF16F6">
      <w:pPr>
        <w:autoSpaceDE w:val="0"/>
        <w:ind w:left="720" w:firstLine="720"/>
        <w:jc w:val="both"/>
        <w:rPr>
          <w:b/>
          <w:bCs/>
        </w:rPr>
      </w:pPr>
    </w:p>
    <w:p w:rsidR="00B05134" w:rsidRPr="00DC2CE0" w:rsidRDefault="003D486E" w:rsidP="00AF16F6">
      <w:pPr>
        <w:autoSpaceDE w:val="0"/>
        <w:jc w:val="both"/>
        <w:rPr>
          <w:b/>
          <w:bCs/>
        </w:rPr>
      </w:pPr>
      <w:r w:rsidRPr="00DC2CE0">
        <w:rPr>
          <w:b/>
          <w:bCs/>
        </w:rPr>
        <w:t xml:space="preserve">Date of adoption: </w:t>
      </w:r>
      <w:r w:rsidR="000A6347" w:rsidRPr="00DC2CE0">
        <w:rPr>
          <w:b/>
          <w:bCs/>
        </w:rPr>
        <w:t>31 July</w:t>
      </w:r>
      <w:r w:rsidR="002A7C24" w:rsidRPr="00DC2CE0">
        <w:rPr>
          <w:b/>
          <w:bCs/>
        </w:rPr>
        <w:t xml:space="preserve"> 2013</w:t>
      </w:r>
    </w:p>
    <w:p w:rsidR="00B05134" w:rsidRPr="00DC2CE0" w:rsidRDefault="00B05134" w:rsidP="00AF16F6">
      <w:pPr>
        <w:autoSpaceDE w:val="0"/>
        <w:jc w:val="both"/>
        <w:rPr>
          <w:b/>
          <w:bCs/>
        </w:rPr>
      </w:pPr>
    </w:p>
    <w:p w:rsidR="00B05134" w:rsidRPr="00DC2CE0" w:rsidRDefault="00E17C0B" w:rsidP="00AF16F6">
      <w:pPr>
        <w:autoSpaceDE w:val="0"/>
        <w:jc w:val="both"/>
        <w:rPr>
          <w:b/>
          <w:bCs/>
        </w:rPr>
      </w:pPr>
      <w:r w:rsidRPr="00DC2CE0">
        <w:rPr>
          <w:b/>
          <w:bCs/>
        </w:rPr>
        <w:t>Case</w:t>
      </w:r>
      <w:r w:rsidR="00466E3B" w:rsidRPr="00DC2CE0">
        <w:rPr>
          <w:b/>
          <w:bCs/>
        </w:rPr>
        <w:t xml:space="preserve"> N</w:t>
      </w:r>
      <w:r w:rsidR="000C48EE" w:rsidRPr="00DC2CE0">
        <w:rPr>
          <w:b/>
          <w:bCs/>
        </w:rPr>
        <w:t>o</w:t>
      </w:r>
      <w:r w:rsidR="00466E3B" w:rsidRPr="00DC2CE0">
        <w:rPr>
          <w:b/>
          <w:bCs/>
        </w:rPr>
        <w:t xml:space="preserve">. </w:t>
      </w:r>
      <w:r w:rsidR="00265E3B" w:rsidRPr="00DC2CE0">
        <w:rPr>
          <w:b/>
          <w:bCs/>
        </w:rPr>
        <w:t>47/09</w:t>
      </w:r>
    </w:p>
    <w:p w:rsidR="005C6947" w:rsidRPr="00DC2CE0" w:rsidRDefault="005C6947" w:rsidP="00AF16F6">
      <w:pPr>
        <w:autoSpaceDE w:val="0"/>
        <w:jc w:val="both"/>
        <w:rPr>
          <w:b/>
          <w:bCs/>
        </w:rPr>
      </w:pPr>
    </w:p>
    <w:p w:rsidR="00265E3B" w:rsidRPr="00DC2CE0" w:rsidRDefault="00265E3B" w:rsidP="00265E3B">
      <w:pPr>
        <w:autoSpaceDE w:val="0"/>
        <w:autoSpaceDN w:val="0"/>
        <w:adjustRightInd w:val="0"/>
        <w:jc w:val="both"/>
        <w:rPr>
          <w:b/>
          <w:bCs/>
        </w:rPr>
      </w:pPr>
      <w:proofErr w:type="spellStart"/>
      <w:r w:rsidRPr="00DC2CE0">
        <w:rPr>
          <w:b/>
          <w:bCs/>
        </w:rPr>
        <w:t>Stana</w:t>
      </w:r>
      <w:proofErr w:type="spellEnd"/>
      <w:r w:rsidRPr="00DC2CE0">
        <w:rPr>
          <w:b/>
          <w:bCs/>
        </w:rPr>
        <w:t xml:space="preserve"> PAVIĆ</w:t>
      </w:r>
    </w:p>
    <w:p w:rsidR="00B05134" w:rsidRPr="00DC2CE0" w:rsidRDefault="00B05134" w:rsidP="00AF16F6">
      <w:pPr>
        <w:tabs>
          <w:tab w:val="left" w:pos="4205"/>
        </w:tabs>
        <w:autoSpaceDE w:val="0"/>
        <w:jc w:val="both"/>
        <w:rPr>
          <w:b/>
          <w:bCs/>
        </w:rPr>
      </w:pPr>
    </w:p>
    <w:p w:rsidR="00B05134" w:rsidRPr="00DC2CE0" w:rsidRDefault="00B05134" w:rsidP="00AF16F6">
      <w:pPr>
        <w:autoSpaceDE w:val="0"/>
        <w:jc w:val="both"/>
        <w:rPr>
          <w:b/>
          <w:bCs/>
        </w:rPr>
      </w:pPr>
      <w:proofErr w:type="gramStart"/>
      <w:r w:rsidRPr="00DC2CE0">
        <w:rPr>
          <w:b/>
          <w:bCs/>
        </w:rPr>
        <w:t>against</w:t>
      </w:r>
      <w:proofErr w:type="gramEnd"/>
    </w:p>
    <w:p w:rsidR="00B05134" w:rsidRPr="00DC2CE0" w:rsidRDefault="00B05134" w:rsidP="00AF16F6">
      <w:pPr>
        <w:autoSpaceDE w:val="0"/>
        <w:jc w:val="both"/>
        <w:rPr>
          <w:b/>
          <w:bCs/>
        </w:rPr>
      </w:pPr>
      <w:r w:rsidRPr="00DC2CE0">
        <w:rPr>
          <w:b/>
          <w:bCs/>
        </w:rPr>
        <w:t xml:space="preserve"> </w:t>
      </w:r>
    </w:p>
    <w:p w:rsidR="00B05134" w:rsidRPr="00DC2CE0" w:rsidRDefault="00B05134" w:rsidP="00AF16F6">
      <w:pPr>
        <w:autoSpaceDE w:val="0"/>
        <w:jc w:val="both"/>
        <w:rPr>
          <w:b/>
          <w:bCs/>
        </w:rPr>
      </w:pPr>
      <w:r w:rsidRPr="00DC2CE0">
        <w:rPr>
          <w:b/>
          <w:bCs/>
        </w:rPr>
        <w:t xml:space="preserve">UNMIK </w:t>
      </w:r>
    </w:p>
    <w:p w:rsidR="00B05134" w:rsidRPr="00DC2CE0" w:rsidRDefault="00B05134" w:rsidP="00AF16F6">
      <w:pPr>
        <w:autoSpaceDE w:val="0"/>
        <w:jc w:val="both"/>
        <w:rPr>
          <w:b/>
          <w:bCs/>
        </w:rPr>
      </w:pPr>
    </w:p>
    <w:p w:rsidR="00B05134" w:rsidRPr="00DC2CE0" w:rsidRDefault="00B05134" w:rsidP="00AF16F6">
      <w:pPr>
        <w:autoSpaceDE w:val="0"/>
        <w:jc w:val="both"/>
        <w:rPr>
          <w:b/>
          <w:bCs/>
        </w:rPr>
      </w:pPr>
    </w:p>
    <w:p w:rsidR="00B05134" w:rsidRPr="00DC2CE0" w:rsidRDefault="00B05134" w:rsidP="00AF16F6">
      <w:pPr>
        <w:autoSpaceDE w:val="0"/>
        <w:jc w:val="both"/>
      </w:pPr>
      <w:r w:rsidRPr="00DC2CE0">
        <w:t>The Human Rig</w:t>
      </w:r>
      <w:r w:rsidR="003D486E" w:rsidRPr="00DC2CE0">
        <w:t>hts Advisory Panel</w:t>
      </w:r>
      <w:r w:rsidR="00D85043" w:rsidRPr="00DC2CE0">
        <w:t>,</w:t>
      </w:r>
      <w:r w:rsidR="003D486E" w:rsidRPr="00DC2CE0">
        <w:t xml:space="preserve"> sitting on </w:t>
      </w:r>
      <w:r w:rsidR="000A6347" w:rsidRPr="00DC2CE0">
        <w:t>31 July</w:t>
      </w:r>
      <w:r w:rsidR="00D85043" w:rsidRPr="00DC2CE0">
        <w:t xml:space="preserve"> 2013</w:t>
      </w:r>
      <w:r w:rsidRPr="00DC2CE0">
        <w:t>,</w:t>
      </w:r>
    </w:p>
    <w:p w:rsidR="00B05134" w:rsidRPr="00DC2CE0" w:rsidRDefault="00B05134" w:rsidP="00AF16F6">
      <w:pPr>
        <w:autoSpaceDE w:val="0"/>
        <w:jc w:val="both"/>
      </w:pPr>
      <w:proofErr w:type="gramStart"/>
      <w:r w:rsidRPr="00DC2CE0">
        <w:t>with</w:t>
      </w:r>
      <w:proofErr w:type="gramEnd"/>
      <w:r w:rsidRPr="00DC2CE0">
        <w:t xml:space="preserve"> the following members present:</w:t>
      </w:r>
    </w:p>
    <w:p w:rsidR="00B05134" w:rsidRPr="00DC2CE0" w:rsidRDefault="00B05134" w:rsidP="00AF16F6">
      <w:pPr>
        <w:autoSpaceDE w:val="0"/>
        <w:jc w:val="both"/>
      </w:pPr>
    </w:p>
    <w:p w:rsidR="00B05134" w:rsidRPr="00DC2CE0" w:rsidRDefault="00B05134" w:rsidP="00AF16F6">
      <w:pPr>
        <w:autoSpaceDE w:val="0"/>
        <w:jc w:val="both"/>
      </w:pPr>
      <w:r w:rsidRPr="00DC2CE0">
        <w:t>Mr Marek NOWICKI, Presiding Member</w:t>
      </w:r>
    </w:p>
    <w:p w:rsidR="00B05134" w:rsidRPr="00DC2CE0" w:rsidRDefault="00B05134" w:rsidP="00AF16F6">
      <w:pPr>
        <w:autoSpaceDE w:val="0"/>
        <w:jc w:val="both"/>
      </w:pPr>
      <w:r w:rsidRPr="00DC2CE0">
        <w:t>Ms Christine CHINKIN</w:t>
      </w:r>
    </w:p>
    <w:p w:rsidR="00821BDA" w:rsidRPr="00DC2CE0" w:rsidRDefault="00821BDA" w:rsidP="00AF16F6">
      <w:pPr>
        <w:autoSpaceDE w:val="0"/>
        <w:jc w:val="both"/>
      </w:pPr>
      <w:r w:rsidRPr="00DC2CE0">
        <w:t>Ms Françoise TULKENS</w:t>
      </w:r>
    </w:p>
    <w:p w:rsidR="00B05134" w:rsidRPr="00DC2CE0" w:rsidRDefault="00B05134" w:rsidP="00AF16F6">
      <w:pPr>
        <w:autoSpaceDE w:val="0"/>
        <w:jc w:val="both"/>
      </w:pPr>
    </w:p>
    <w:p w:rsidR="00B05134" w:rsidRPr="00DC2CE0" w:rsidRDefault="00B05134" w:rsidP="00AF16F6">
      <w:pPr>
        <w:autoSpaceDE w:val="0"/>
        <w:jc w:val="both"/>
      </w:pPr>
      <w:r w:rsidRPr="00DC2CE0">
        <w:t>Assisted by</w:t>
      </w:r>
    </w:p>
    <w:p w:rsidR="00B05134" w:rsidRPr="00DC2CE0" w:rsidRDefault="00700F1D" w:rsidP="00AF16F6">
      <w:pPr>
        <w:autoSpaceDE w:val="0"/>
        <w:jc w:val="both"/>
      </w:pPr>
      <w:r w:rsidRPr="00DC2CE0">
        <w:t>Mr Andrey</w:t>
      </w:r>
      <w:r w:rsidR="00B05134" w:rsidRPr="00DC2CE0">
        <w:t xml:space="preserve"> </w:t>
      </w:r>
      <w:r w:rsidRPr="00DC2CE0">
        <w:t>ANTONOV,</w:t>
      </w:r>
      <w:r w:rsidR="00B05134" w:rsidRPr="00DC2CE0">
        <w:t xml:space="preserve"> Executive Officer</w:t>
      </w:r>
    </w:p>
    <w:p w:rsidR="00B05134" w:rsidRPr="00DC2CE0" w:rsidRDefault="00B05134" w:rsidP="00AF16F6">
      <w:pPr>
        <w:autoSpaceDE w:val="0"/>
        <w:jc w:val="both"/>
      </w:pPr>
    </w:p>
    <w:p w:rsidR="00B05134" w:rsidRPr="00DC2CE0" w:rsidRDefault="00B05134" w:rsidP="00AF16F6">
      <w:pPr>
        <w:autoSpaceDE w:val="0"/>
        <w:jc w:val="both"/>
      </w:pPr>
      <w:r w:rsidRPr="00DC2CE0">
        <w:t>Having considered the aforementioned complaint, introduced pursuant to Section 1.2 of UNMIK Regulation No. 2006/12 of 23 March 2006 on the Establishment of the Human Rights Advisory Panel,</w:t>
      </w:r>
    </w:p>
    <w:p w:rsidR="00B05134" w:rsidRPr="00DC2CE0" w:rsidRDefault="00B05134" w:rsidP="00AF16F6">
      <w:pPr>
        <w:autoSpaceDE w:val="0"/>
        <w:jc w:val="both"/>
      </w:pPr>
    </w:p>
    <w:p w:rsidR="00B05134" w:rsidRPr="00DC2CE0" w:rsidRDefault="00B05134" w:rsidP="00AF16F6">
      <w:pPr>
        <w:autoSpaceDE w:val="0"/>
        <w:jc w:val="both"/>
      </w:pPr>
      <w:r w:rsidRPr="00DC2CE0">
        <w:t xml:space="preserve">Having </w:t>
      </w:r>
      <w:proofErr w:type="gramStart"/>
      <w:r w:rsidRPr="00DC2CE0">
        <w:t>deliberated,</w:t>
      </w:r>
      <w:proofErr w:type="gramEnd"/>
      <w:r w:rsidRPr="00DC2CE0">
        <w:t xml:space="preserve"> makes the following </w:t>
      </w:r>
      <w:r w:rsidR="00882836" w:rsidRPr="00DC2CE0">
        <w:t>findings and recommendations</w:t>
      </w:r>
      <w:r w:rsidRPr="00DC2CE0">
        <w:t>:</w:t>
      </w:r>
    </w:p>
    <w:p w:rsidR="00B05134" w:rsidRPr="00DC2CE0" w:rsidRDefault="00B05134" w:rsidP="00AF16F6">
      <w:pPr>
        <w:autoSpaceDE w:val="0"/>
        <w:jc w:val="both"/>
      </w:pPr>
    </w:p>
    <w:p w:rsidR="00B05134" w:rsidRPr="00DC2CE0" w:rsidRDefault="00B05134" w:rsidP="00AF16F6">
      <w:pPr>
        <w:autoSpaceDE w:val="0"/>
        <w:jc w:val="both"/>
      </w:pPr>
    </w:p>
    <w:p w:rsidR="00B05134" w:rsidRPr="00DC2CE0" w:rsidRDefault="00B05134" w:rsidP="00AF16F6">
      <w:pPr>
        <w:autoSpaceDE w:val="0"/>
        <w:jc w:val="both"/>
        <w:rPr>
          <w:b/>
          <w:bCs/>
        </w:rPr>
      </w:pPr>
      <w:r w:rsidRPr="00DC2CE0">
        <w:rPr>
          <w:b/>
          <w:bCs/>
        </w:rPr>
        <w:t>I. PROCEEDINGS BEFORE THE PANEL</w:t>
      </w:r>
    </w:p>
    <w:p w:rsidR="00B05134" w:rsidRPr="00DC2CE0" w:rsidRDefault="00B05134" w:rsidP="00AF16F6">
      <w:pPr>
        <w:autoSpaceDE w:val="0"/>
        <w:jc w:val="both"/>
        <w:rPr>
          <w:b/>
          <w:bCs/>
        </w:rPr>
      </w:pPr>
    </w:p>
    <w:p w:rsidR="00265E3B" w:rsidRPr="00DC2CE0" w:rsidRDefault="00265E3B" w:rsidP="00265E3B">
      <w:pPr>
        <w:pStyle w:val="Default"/>
        <w:numPr>
          <w:ilvl w:val="0"/>
          <w:numId w:val="2"/>
        </w:numPr>
        <w:jc w:val="both"/>
        <w:rPr>
          <w:color w:val="auto"/>
          <w:lang w:val="en-GB"/>
        </w:rPr>
      </w:pPr>
      <w:r w:rsidRPr="00DC2CE0">
        <w:rPr>
          <w:color w:val="auto"/>
          <w:lang w:val="en-GB"/>
        </w:rPr>
        <w:t xml:space="preserve">The complaint was introduced on 3 April 2009 and registered on 17 April 2009. </w:t>
      </w:r>
    </w:p>
    <w:p w:rsidR="00265E3B" w:rsidRPr="00DC2CE0" w:rsidRDefault="00265E3B" w:rsidP="00265E3B">
      <w:pPr>
        <w:pStyle w:val="Default"/>
        <w:jc w:val="both"/>
        <w:rPr>
          <w:color w:val="auto"/>
          <w:lang w:val="en-GB"/>
        </w:rPr>
      </w:pPr>
    </w:p>
    <w:p w:rsidR="00265E3B" w:rsidRPr="00DC2CE0" w:rsidRDefault="00265E3B" w:rsidP="00265E3B">
      <w:pPr>
        <w:pStyle w:val="Default"/>
        <w:numPr>
          <w:ilvl w:val="0"/>
          <w:numId w:val="2"/>
        </w:numPr>
        <w:jc w:val="both"/>
        <w:rPr>
          <w:color w:val="auto"/>
          <w:lang w:val="en-GB"/>
        </w:rPr>
      </w:pPr>
      <w:r w:rsidRPr="00DC2CE0">
        <w:rPr>
          <w:color w:val="auto"/>
          <w:lang w:val="en-GB"/>
        </w:rPr>
        <w:t>On 16 June 2009, the Panel communicated the case to the Special Representative of the Secretary-General (SRSG)</w:t>
      </w:r>
      <w:r w:rsidRPr="00DC2CE0">
        <w:rPr>
          <w:rStyle w:val="FootnoteReference"/>
          <w:color w:val="auto"/>
          <w:lang w:val="en-GB"/>
        </w:rPr>
        <w:footnoteReference w:id="1"/>
      </w:r>
      <w:r w:rsidRPr="00DC2CE0">
        <w:rPr>
          <w:color w:val="auto"/>
          <w:lang w:val="en-GB"/>
        </w:rPr>
        <w:t xml:space="preserve"> for UNMIK’s comments on the admissibility and the merits of the case. On 3 July 2009, the SRSG provided UNMIK’s response.</w:t>
      </w:r>
    </w:p>
    <w:p w:rsidR="00265E3B" w:rsidRPr="00DC2CE0" w:rsidRDefault="00265E3B" w:rsidP="00265E3B">
      <w:pPr>
        <w:pStyle w:val="Default"/>
        <w:ind w:left="360"/>
        <w:jc w:val="both"/>
        <w:rPr>
          <w:color w:val="auto"/>
          <w:lang w:val="en-GB"/>
        </w:rPr>
      </w:pPr>
    </w:p>
    <w:p w:rsidR="00265E3B" w:rsidRPr="00DC2CE0" w:rsidRDefault="00265E3B" w:rsidP="00265E3B">
      <w:pPr>
        <w:pStyle w:val="Default"/>
        <w:numPr>
          <w:ilvl w:val="0"/>
          <w:numId w:val="2"/>
        </w:numPr>
        <w:jc w:val="both"/>
        <w:rPr>
          <w:color w:val="auto"/>
          <w:lang w:val="en-GB"/>
        </w:rPr>
      </w:pPr>
      <w:r w:rsidRPr="00DC2CE0">
        <w:rPr>
          <w:color w:val="auto"/>
          <w:lang w:val="en-GB"/>
        </w:rPr>
        <w:t>On 9 December 2009, the Panel requested further information from the complainant.</w:t>
      </w:r>
    </w:p>
    <w:p w:rsidR="00265E3B" w:rsidRPr="00DC2CE0" w:rsidRDefault="00265E3B" w:rsidP="00265E3B">
      <w:pPr>
        <w:pStyle w:val="Default"/>
        <w:ind w:left="360"/>
        <w:jc w:val="both"/>
        <w:rPr>
          <w:color w:val="auto"/>
          <w:lang w:val="en-GB"/>
        </w:rPr>
      </w:pPr>
    </w:p>
    <w:p w:rsidR="00265E3B" w:rsidRPr="00DC2CE0" w:rsidRDefault="00265E3B" w:rsidP="00265E3B">
      <w:pPr>
        <w:pStyle w:val="Default"/>
        <w:numPr>
          <w:ilvl w:val="0"/>
          <w:numId w:val="2"/>
        </w:numPr>
        <w:jc w:val="both"/>
        <w:rPr>
          <w:color w:val="auto"/>
          <w:lang w:val="en-GB"/>
        </w:rPr>
      </w:pPr>
      <w:r w:rsidRPr="00DC2CE0">
        <w:rPr>
          <w:color w:val="auto"/>
          <w:lang w:val="en-GB"/>
        </w:rPr>
        <w:lastRenderedPageBreak/>
        <w:t xml:space="preserve">On 18 December 2009, the Panel requested information from the European Union Rule of Law Mission in Kosovo (EULEX). EULEX provided a response on 23 March 2010. </w:t>
      </w:r>
    </w:p>
    <w:p w:rsidR="00265E3B" w:rsidRPr="00DC2CE0" w:rsidRDefault="00265E3B" w:rsidP="00265E3B">
      <w:pPr>
        <w:pStyle w:val="Default"/>
        <w:ind w:left="360"/>
        <w:jc w:val="both"/>
        <w:rPr>
          <w:color w:val="auto"/>
          <w:lang w:val="en-GB"/>
        </w:rPr>
      </w:pPr>
    </w:p>
    <w:p w:rsidR="00265E3B" w:rsidRPr="00DC2CE0" w:rsidRDefault="00265E3B" w:rsidP="00265E3B">
      <w:pPr>
        <w:pStyle w:val="Default"/>
        <w:numPr>
          <w:ilvl w:val="0"/>
          <w:numId w:val="2"/>
        </w:numPr>
        <w:jc w:val="both"/>
        <w:rPr>
          <w:color w:val="auto"/>
          <w:lang w:val="en-GB"/>
        </w:rPr>
      </w:pPr>
      <w:r w:rsidRPr="00DC2CE0">
        <w:rPr>
          <w:color w:val="auto"/>
          <w:lang w:val="en-GB"/>
        </w:rPr>
        <w:t xml:space="preserve">On 19 September 2010, the complainant provided a response to the Panel’s letter of 9 December 2009. </w:t>
      </w:r>
    </w:p>
    <w:p w:rsidR="00265E3B" w:rsidRPr="00DC2CE0" w:rsidRDefault="00265E3B" w:rsidP="00265E3B">
      <w:pPr>
        <w:pStyle w:val="Default"/>
        <w:jc w:val="both"/>
        <w:rPr>
          <w:color w:val="auto"/>
          <w:lang w:val="en-GB"/>
        </w:rPr>
      </w:pPr>
    </w:p>
    <w:p w:rsidR="00265E3B" w:rsidRPr="00DC2CE0" w:rsidRDefault="00265E3B" w:rsidP="00265E3B">
      <w:pPr>
        <w:pStyle w:val="Default"/>
        <w:numPr>
          <w:ilvl w:val="0"/>
          <w:numId w:val="2"/>
        </w:numPr>
        <w:jc w:val="both"/>
        <w:rPr>
          <w:color w:val="auto"/>
          <w:lang w:val="en-GB"/>
        </w:rPr>
      </w:pPr>
      <w:r w:rsidRPr="00DC2CE0">
        <w:rPr>
          <w:color w:val="auto"/>
          <w:lang w:val="en-GB"/>
        </w:rPr>
        <w:t xml:space="preserve">On 2 November 2010, the Panel re-communicated the case to the SRSG for UNMIK’s comments on the admissibility of the case in light of the additional comments from the complainant. On 2 March 2011, the SRSG provided UNMIK’s response.  </w:t>
      </w:r>
    </w:p>
    <w:p w:rsidR="00E17C0B" w:rsidRPr="00DC2CE0" w:rsidRDefault="00E17C0B" w:rsidP="00E17C0B">
      <w:pPr>
        <w:pStyle w:val="ListParagraph"/>
      </w:pPr>
    </w:p>
    <w:p w:rsidR="00821BDA" w:rsidRPr="00DC2CE0" w:rsidRDefault="00E17C0B" w:rsidP="001707FB">
      <w:pPr>
        <w:pStyle w:val="Default"/>
        <w:numPr>
          <w:ilvl w:val="0"/>
          <w:numId w:val="2"/>
        </w:numPr>
        <w:jc w:val="both"/>
        <w:rPr>
          <w:color w:val="auto"/>
          <w:lang w:val="en-GB"/>
        </w:rPr>
      </w:pPr>
      <w:r w:rsidRPr="00DC2CE0">
        <w:rPr>
          <w:color w:val="auto"/>
          <w:lang w:val="en-GB"/>
        </w:rPr>
        <w:t>On 13 April 2011, t</w:t>
      </w:r>
      <w:r w:rsidR="000A6347" w:rsidRPr="00DC2CE0">
        <w:rPr>
          <w:color w:val="auto"/>
          <w:lang w:val="en-GB"/>
        </w:rPr>
        <w:t>he Panel declared the complaint</w:t>
      </w:r>
      <w:r w:rsidRPr="00DC2CE0">
        <w:rPr>
          <w:color w:val="auto"/>
          <w:lang w:val="en-GB"/>
        </w:rPr>
        <w:t xml:space="preserve"> admissible. </w:t>
      </w:r>
    </w:p>
    <w:p w:rsidR="00821BDA" w:rsidRPr="00DC2CE0" w:rsidRDefault="00821BDA" w:rsidP="00821BDA">
      <w:pPr>
        <w:pStyle w:val="ListParagraph"/>
      </w:pPr>
    </w:p>
    <w:p w:rsidR="00E17C0B" w:rsidRPr="00DC2CE0" w:rsidRDefault="00E17C0B" w:rsidP="001707FB">
      <w:pPr>
        <w:pStyle w:val="Default"/>
        <w:numPr>
          <w:ilvl w:val="0"/>
          <w:numId w:val="2"/>
        </w:numPr>
        <w:jc w:val="both"/>
        <w:rPr>
          <w:color w:val="auto"/>
          <w:lang w:val="en-GB"/>
        </w:rPr>
      </w:pPr>
      <w:r w:rsidRPr="00DC2CE0">
        <w:rPr>
          <w:color w:val="auto"/>
          <w:lang w:val="en-GB"/>
        </w:rPr>
        <w:t xml:space="preserve">On 18 April 2011, the Panel </w:t>
      </w:r>
      <w:r w:rsidR="00821BDA" w:rsidRPr="00DC2CE0">
        <w:rPr>
          <w:color w:val="auto"/>
          <w:lang w:val="en-GB"/>
        </w:rPr>
        <w:t>c</w:t>
      </w:r>
      <w:r w:rsidR="00D85043" w:rsidRPr="00DC2CE0">
        <w:rPr>
          <w:color w:val="auto"/>
          <w:lang w:val="en-GB"/>
        </w:rPr>
        <w:t xml:space="preserve">ommunicated the decision on </w:t>
      </w:r>
      <w:r w:rsidR="00821BDA" w:rsidRPr="00DC2CE0">
        <w:rPr>
          <w:color w:val="auto"/>
          <w:lang w:val="en-GB"/>
        </w:rPr>
        <w:t xml:space="preserve">admissibility to </w:t>
      </w:r>
      <w:r w:rsidRPr="00DC2CE0">
        <w:rPr>
          <w:color w:val="auto"/>
          <w:lang w:val="en-GB"/>
        </w:rPr>
        <w:t xml:space="preserve">the SRSG </w:t>
      </w:r>
      <w:r w:rsidR="00821BDA" w:rsidRPr="00DC2CE0">
        <w:rPr>
          <w:color w:val="auto"/>
          <w:lang w:val="en-GB"/>
        </w:rPr>
        <w:t xml:space="preserve">and </w:t>
      </w:r>
      <w:r w:rsidRPr="00DC2CE0">
        <w:rPr>
          <w:color w:val="auto"/>
          <w:lang w:val="en-GB"/>
        </w:rPr>
        <w:t>requested UNMIK’s comments on the merits of the case</w:t>
      </w:r>
      <w:r w:rsidR="00134F7B" w:rsidRPr="00DC2CE0">
        <w:rPr>
          <w:color w:val="auto"/>
          <w:lang w:val="en-GB"/>
        </w:rPr>
        <w:t xml:space="preserve"> together with the investigative files</w:t>
      </w:r>
      <w:r w:rsidRPr="00DC2CE0">
        <w:rPr>
          <w:color w:val="auto"/>
          <w:lang w:val="en-GB"/>
        </w:rPr>
        <w:t xml:space="preserve">. On </w:t>
      </w:r>
      <w:r w:rsidR="00265E3B" w:rsidRPr="00DC2CE0">
        <w:rPr>
          <w:color w:val="auto"/>
          <w:lang w:val="en-GB"/>
        </w:rPr>
        <w:t>23</w:t>
      </w:r>
      <w:r w:rsidRPr="00DC2CE0">
        <w:rPr>
          <w:color w:val="auto"/>
          <w:lang w:val="en-GB"/>
        </w:rPr>
        <w:t xml:space="preserve"> May 2011, </w:t>
      </w:r>
      <w:r w:rsidR="00821BDA" w:rsidRPr="00DC2CE0">
        <w:rPr>
          <w:color w:val="auto"/>
          <w:lang w:val="en-GB"/>
        </w:rPr>
        <w:t>the SRSG provided UNMIK’s</w:t>
      </w:r>
      <w:r w:rsidR="004E0F69" w:rsidRPr="00DC2CE0">
        <w:rPr>
          <w:color w:val="auto"/>
          <w:lang w:val="en-GB"/>
        </w:rPr>
        <w:t xml:space="preserve"> </w:t>
      </w:r>
      <w:r w:rsidRPr="00DC2CE0">
        <w:rPr>
          <w:color w:val="auto"/>
          <w:lang w:val="en-GB"/>
        </w:rPr>
        <w:t>response.</w:t>
      </w:r>
    </w:p>
    <w:p w:rsidR="0044346B" w:rsidRPr="00DC2CE0" w:rsidRDefault="0044346B" w:rsidP="0044346B">
      <w:pPr>
        <w:pStyle w:val="ListParagraph"/>
      </w:pPr>
    </w:p>
    <w:p w:rsidR="00BF2552" w:rsidRPr="00DC2CE0" w:rsidRDefault="0044346B" w:rsidP="001707FB">
      <w:pPr>
        <w:pStyle w:val="Default"/>
        <w:numPr>
          <w:ilvl w:val="0"/>
          <w:numId w:val="2"/>
        </w:numPr>
        <w:jc w:val="both"/>
        <w:rPr>
          <w:color w:val="auto"/>
          <w:lang w:val="en-GB"/>
        </w:rPr>
      </w:pPr>
      <w:r w:rsidRPr="00DC2CE0">
        <w:rPr>
          <w:color w:val="auto"/>
          <w:lang w:val="en-GB"/>
        </w:rPr>
        <w:t xml:space="preserve">On </w:t>
      </w:r>
      <w:r w:rsidR="00134F7B" w:rsidRPr="00DC2CE0">
        <w:rPr>
          <w:color w:val="auto"/>
          <w:lang w:val="en-GB"/>
        </w:rPr>
        <w:t>11 June</w:t>
      </w:r>
      <w:r w:rsidRPr="00DC2CE0">
        <w:rPr>
          <w:color w:val="auto"/>
          <w:lang w:val="en-GB"/>
        </w:rPr>
        <w:t xml:space="preserve"> 2013, the Panel requested UNMIK to confirm whether the disclosures of files concerning the case</w:t>
      </w:r>
      <w:r w:rsidR="007C1BB5" w:rsidRPr="00DC2CE0">
        <w:rPr>
          <w:color w:val="auto"/>
          <w:lang w:val="en-GB"/>
        </w:rPr>
        <w:t>s</w:t>
      </w:r>
      <w:r w:rsidRPr="00DC2CE0">
        <w:rPr>
          <w:color w:val="auto"/>
          <w:lang w:val="en-GB"/>
        </w:rPr>
        <w:t xml:space="preserve"> could be considered final. </w:t>
      </w:r>
    </w:p>
    <w:p w:rsidR="00BF2552" w:rsidRPr="00DC2CE0" w:rsidRDefault="00BF2552" w:rsidP="00BF2552">
      <w:pPr>
        <w:pStyle w:val="ListParagraph"/>
      </w:pPr>
    </w:p>
    <w:p w:rsidR="0044346B" w:rsidRPr="00DC2CE0" w:rsidRDefault="0044346B" w:rsidP="001707FB">
      <w:pPr>
        <w:pStyle w:val="Default"/>
        <w:numPr>
          <w:ilvl w:val="0"/>
          <w:numId w:val="2"/>
        </w:numPr>
        <w:jc w:val="both"/>
        <w:rPr>
          <w:color w:val="auto"/>
          <w:lang w:val="en-GB"/>
        </w:rPr>
      </w:pPr>
      <w:r w:rsidRPr="00DC2CE0">
        <w:rPr>
          <w:color w:val="auto"/>
          <w:lang w:val="en-GB"/>
        </w:rPr>
        <w:t xml:space="preserve">On </w:t>
      </w:r>
      <w:r w:rsidR="00134F7B" w:rsidRPr="00DC2CE0">
        <w:rPr>
          <w:color w:val="auto"/>
          <w:lang w:val="en-GB"/>
        </w:rPr>
        <w:t>18</w:t>
      </w:r>
      <w:r w:rsidRPr="00DC2CE0">
        <w:rPr>
          <w:color w:val="auto"/>
          <w:lang w:val="en-GB"/>
        </w:rPr>
        <w:t xml:space="preserve"> </w:t>
      </w:r>
      <w:r w:rsidR="00134F7B" w:rsidRPr="00DC2CE0">
        <w:rPr>
          <w:color w:val="auto"/>
          <w:lang w:val="en-GB"/>
        </w:rPr>
        <w:t>June</w:t>
      </w:r>
      <w:r w:rsidRPr="00DC2CE0">
        <w:rPr>
          <w:color w:val="auto"/>
          <w:lang w:val="en-GB"/>
        </w:rPr>
        <w:t xml:space="preserve"> 2013, the SRSG provided UNMIK’s response. </w:t>
      </w:r>
    </w:p>
    <w:p w:rsidR="00A54828" w:rsidRPr="00DC2CE0" w:rsidRDefault="00A54828" w:rsidP="00A54828">
      <w:pPr>
        <w:pStyle w:val="ListParagraph"/>
      </w:pPr>
    </w:p>
    <w:p w:rsidR="00FB52EC" w:rsidRPr="00DC2CE0" w:rsidRDefault="00FB52EC" w:rsidP="00A54828">
      <w:pPr>
        <w:pStyle w:val="ListParagraph"/>
      </w:pPr>
    </w:p>
    <w:p w:rsidR="00A54828" w:rsidRPr="00DC2CE0" w:rsidRDefault="00A54828" w:rsidP="00A54828">
      <w:pPr>
        <w:tabs>
          <w:tab w:val="left" w:pos="357"/>
        </w:tabs>
        <w:autoSpaceDE w:val="0"/>
        <w:jc w:val="both"/>
        <w:rPr>
          <w:b/>
          <w:bCs/>
        </w:rPr>
      </w:pPr>
      <w:r w:rsidRPr="00DC2CE0">
        <w:rPr>
          <w:b/>
          <w:bCs/>
        </w:rPr>
        <w:t>II. THE FACTS</w:t>
      </w:r>
    </w:p>
    <w:p w:rsidR="00A54828" w:rsidRPr="00DC2CE0" w:rsidRDefault="00A54828" w:rsidP="00A54828"/>
    <w:p w:rsidR="00A54828" w:rsidRPr="00DC2CE0" w:rsidRDefault="00A54828" w:rsidP="00A54828">
      <w:pPr>
        <w:jc w:val="both"/>
        <w:rPr>
          <w:b/>
        </w:rPr>
      </w:pPr>
      <w:r w:rsidRPr="00DC2CE0">
        <w:rPr>
          <w:b/>
        </w:rPr>
        <w:t>A. General background</w:t>
      </w:r>
      <w:r w:rsidRPr="00DC2CE0">
        <w:rPr>
          <w:rStyle w:val="FootnoteReference"/>
          <w:b/>
        </w:rPr>
        <w:footnoteReference w:id="2"/>
      </w:r>
      <w:r w:rsidRPr="00DC2CE0">
        <w:rPr>
          <w:b/>
        </w:rPr>
        <w:t xml:space="preserve">  </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The events at issue took place in the territory of Kosovo after the establishment of the United Nations Interim Administration Mission in Kosovo (UNMIK), in June 1999. </w:t>
      </w:r>
    </w:p>
    <w:p w:rsidR="00A54828" w:rsidRPr="00DC2CE0" w:rsidRDefault="00A54828" w:rsidP="00A54828">
      <w:pPr>
        <w:pStyle w:val="Default"/>
        <w:ind w:left="360"/>
        <w:jc w:val="both"/>
        <w:rPr>
          <w:color w:val="auto"/>
          <w:lang w:val="en-GB"/>
        </w:rPr>
      </w:pPr>
    </w:p>
    <w:p w:rsidR="00A54828" w:rsidRPr="00DC2CE0" w:rsidRDefault="00A54828" w:rsidP="001707FB">
      <w:pPr>
        <w:pStyle w:val="Default"/>
        <w:numPr>
          <w:ilvl w:val="0"/>
          <w:numId w:val="2"/>
        </w:numPr>
        <w:jc w:val="both"/>
        <w:rPr>
          <w:color w:val="auto"/>
          <w:lang w:val="en-GB"/>
        </w:rPr>
      </w:pPr>
      <w:r w:rsidRPr="00DC2CE0">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A54828" w:rsidRPr="00DC2CE0" w:rsidRDefault="00A54828" w:rsidP="00A54828">
      <w:pPr>
        <w:pStyle w:val="Default"/>
        <w:ind w:left="360"/>
        <w:jc w:val="both"/>
        <w:rPr>
          <w:color w:val="auto"/>
          <w:lang w:val="en-GB"/>
        </w:rPr>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DC2CE0">
        <w:rPr>
          <w:color w:val="auto"/>
          <w:lang w:val="en-GB"/>
        </w:rPr>
        <w:t>Mitrovicë</w:t>
      </w:r>
      <w:proofErr w:type="spellEnd"/>
      <w:r w:rsidRPr="00DC2CE0">
        <w:rPr>
          <w:color w:val="auto"/>
          <w:lang w:val="en-GB"/>
        </w:rPr>
        <w:t>/</w:t>
      </w:r>
      <w:proofErr w:type="spellStart"/>
      <w:r w:rsidRPr="00DC2CE0">
        <w:rPr>
          <w:color w:val="auto"/>
          <w:lang w:val="en-GB"/>
        </w:rPr>
        <w:t>Mitrovica</w:t>
      </w:r>
      <w:proofErr w:type="spellEnd"/>
      <w:r w:rsidRPr="00DC2CE0">
        <w:rPr>
          <w:color w:val="auto"/>
          <w:lang w:val="en-GB"/>
        </w:rPr>
        <w:t xml:space="preserve">. According to the 2000 Annual Report of UNMIK Police, 351 kidnappings, 675 murders and 115 rapes had been reported to them in the period between June 1999 and December 2000. </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DC2CE0">
        <w:rPr>
          <w:color w:val="auto"/>
          <w:lang w:val="en-GB"/>
        </w:rPr>
        <w:t>Mitrovicë</w:t>
      </w:r>
      <w:proofErr w:type="spellEnd"/>
      <w:r w:rsidRPr="00DC2CE0">
        <w:rPr>
          <w:color w:val="auto"/>
          <w:lang w:val="en-GB"/>
        </w:rPr>
        <w:t>/</w:t>
      </w:r>
      <w:proofErr w:type="spellStart"/>
      <w:r w:rsidRPr="00DC2CE0">
        <w:rPr>
          <w:color w:val="auto"/>
          <w:lang w:val="en-GB"/>
        </w:rPr>
        <w:t>Mitrovica</w:t>
      </w:r>
      <w:proofErr w:type="spellEnd"/>
      <w:r w:rsidRPr="00DC2CE0">
        <w:rPr>
          <w:color w:val="auto"/>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A54828" w:rsidRPr="00DC2CE0" w:rsidRDefault="00A54828" w:rsidP="00A54828">
      <w:pPr>
        <w:pStyle w:val="ListParagraph"/>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C2CE0">
        <w:rPr>
          <w:color w:val="auto"/>
          <w:lang w:val="en-GB"/>
        </w:rPr>
        <w:t>persons</w:t>
      </w:r>
      <w:proofErr w:type="gramEnd"/>
      <w:r w:rsidRPr="00DC2CE0">
        <w:rPr>
          <w:color w:val="auto"/>
          <w:lang w:val="en-GB"/>
        </w:rPr>
        <w:t xml:space="preserve"> cases in Kosovo. In May 2000, a Victim Recovery and Identification Commission (VRIC) chaired by UNMIK </w:t>
      </w:r>
      <w:proofErr w:type="gramStart"/>
      <w:r w:rsidRPr="00DC2CE0">
        <w:rPr>
          <w:color w:val="auto"/>
          <w:lang w:val="en-GB"/>
        </w:rPr>
        <w:t>was</w:t>
      </w:r>
      <w:proofErr w:type="gramEnd"/>
      <w:r w:rsidRPr="00DC2CE0">
        <w:rPr>
          <w:color w:val="auto"/>
          <w:lang w:val="en-GB"/>
        </w:rPr>
        <w:t xml:space="preserve"> created for the recovery, identification and disposition of mortal remains. As of June 2002, the newly established OMPF in the UNMIK Department of Justice (DOJ) became the sole authority mandated to determine the whereabouts of missing </w:t>
      </w:r>
      <w:proofErr w:type="gramStart"/>
      <w:r w:rsidRPr="00DC2CE0">
        <w:rPr>
          <w:color w:val="auto"/>
          <w:lang w:val="en-GB"/>
        </w:rPr>
        <w:t>persons,</w:t>
      </w:r>
      <w:proofErr w:type="gramEnd"/>
      <w:r w:rsidRPr="00DC2CE0">
        <w:rPr>
          <w:color w:val="auto"/>
          <w:lang w:val="en-GB"/>
        </w:rPr>
        <w:t xml:space="preserve"> identify their mortal remains and return them to the family of the missing. Starting from 2001, based on a Memorandum of Understanding (</w:t>
      </w:r>
      <w:proofErr w:type="spellStart"/>
      <w:r w:rsidRPr="00DC2CE0">
        <w:rPr>
          <w:color w:val="auto"/>
          <w:lang w:val="en-GB"/>
        </w:rPr>
        <w:t>MoU</w:t>
      </w:r>
      <w:proofErr w:type="spellEnd"/>
      <w:r w:rsidRPr="00DC2CE0">
        <w:rPr>
          <w:color w:val="auto"/>
          <w:lang w:val="en-GB"/>
        </w:rPr>
        <w:t xml:space="preserve">) between UNMIK and the Sarajevo-based International Commission of Missing Persons (ICMP), supplemented by a further agreement in 2003, the identification of mortal remains was carried out by the ICMP through DNA testing. </w:t>
      </w:r>
    </w:p>
    <w:p w:rsidR="00A54828" w:rsidRPr="00DC2CE0" w:rsidRDefault="00A54828" w:rsidP="00A54828">
      <w:pPr>
        <w:pStyle w:val="Default"/>
        <w:ind w:left="360"/>
        <w:jc w:val="both"/>
        <w:rPr>
          <w:color w:val="auto"/>
          <w:lang w:val="en-GB"/>
        </w:rPr>
      </w:pPr>
    </w:p>
    <w:p w:rsidR="00A54828" w:rsidRPr="00DC2CE0" w:rsidRDefault="00A54828" w:rsidP="001707FB">
      <w:pPr>
        <w:pStyle w:val="Default"/>
        <w:numPr>
          <w:ilvl w:val="0"/>
          <w:numId w:val="2"/>
        </w:numPr>
        <w:jc w:val="both"/>
        <w:rPr>
          <w:color w:val="auto"/>
          <w:lang w:val="en-GB"/>
        </w:rPr>
      </w:pPr>
      <w:r w:rsidRPr="00DC2CE0">
        <w:rPr>
          <w:color w:val="auto"/>
          <w:lang w:val="en-GB"/>
        </w:rPr>
        <w:t xml:space="preserve">On 9 December 2008, UNMIK’s responsibility with regard to police and justice in Kosovo ended with the </w:t>
      </w:r>
      <w:r w:rsidR="00BF2552" w:rsidRPr="00DC2CE0">
        <w:rPr>
          <w:color w:val="auto"/>
          <w:lang w:val="en-GB"/>
        </w:rPr>
        <w:t>EULEX</w:t>
      </w:r>
      <w:r w:rsidRPr="00DC2CE0">
        <w:rPr>
          <w:color w:val="auto"/>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p>
    <w:p w:rsidR="00A54828" w:rsidRPr="00DC2CE0" w:rsidRDefault="00A54828" w:rsidP="00A54828">
      <w:pPr>
        <w:pStyle w:val="ListParagraph"/>
      </w:pPr>
    </w:p>
    <w:p w:rsidR="009E1DF0" w:rsidRPr="00DC2CE0" w:rsidRDefault="00A54828" w:rsidP="001707FB">
      <w:pPr>
        <w:pStyle w:val="Default"/>
        <w:numPr>
          <w:ilvl w:val="0"/>
          <w:numId w:val="2"/>
        </w:numPr>
        <w:jc w:val="both"/>
        <w:rPr>
          <w:color w:val="auto"/>
          <w:lang w:val="en-GB"/>
        </w:rPr>
      </w:pPr>
      <w:r w:rsidRPr="00DC2CE0">
        <w:rPr>
          <w:color w:val="auto"/>
          <w:lang w:val="en-GB"/>
        </w:rPr>
        <w:t xml:space="preserve">On the same date, UNMIK and EULEX signed a </w:t>
      </w:r>
      <w:proofErr w:type="spellStart"/>
      <w:r w:rsidRPr="00DC2CE0">
        <w:rPr>
          <w:color w:val="auto"/>
          <w:lang w:val="en-GB"/>
        </w:rPr>
        <w:t>MoU</w:t>
      </w:r>
      <w:proofErr w:type="spellEnd"/>
      <w:r w:rsidRPr="00DC2CE0">
        <w:rPr>
          <w:color w:val="auto"/>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A54828" w:rsidRPr="00DC2CE0" w:rsidRDefault="00A54828" w:rsidP="00A54828">
      <w:pPr>
        <w:jc w:val="both"/>
        <w:rPr>
          <w:b/>
        </w:rPr>
      </w:pPr>
    </w:p>
    <w:p w:rsidR="00FA67F3" w:rsidRPr="00DC2CE0" w:rsidRDefault="00A54828" w:rsidP="00134F7B">
      <w:pPr>
        <w:jc w:val="both"/>
        <w:rPr>
          <w:b/>
        </w:rPr>
      </w:pPr>
      <w:r w:rsidRPr="00DC2CE0">
        <w:rPr>
          <w:b/>
        </w:rPr>
        <w:t xml:space="preserve">B. </w:t>
      </w:r>
      <w:r w:rsidR="006645B5" w:rsidRPr="00DC2CE0">
        <w:rPr>
          <w:b/>
        </w:rPr>
        <w:t>Circumst</w:t>
      </w:r>
      <w:r w:rsidR="00127EF1" w:rsidRPr="00DC2CE0">
        <w:rPr>
          <w:b/>
        </w:rPr>
        <w:t xml:space="preserve">ances surrounding the </w:t>
      </w:r>
      <w:r w:rsidR="00132C23" w:rsidRPr="00DC2CE0">
        <w:rPr>
          <w:b/>
        </w:rPr>
        <w:t>abduction</w:t>
      </w:r>
      <w:r w:rsidR="00FA67F3" w:rsidRPr="00DC2CE0">
        <w:rPr>
          <w:b/>
        </w:rPr>
        <w:t xml:space="preserve"> of </w:t>
      </w:r>
      <w:r w:rsidR="00134F7B" w:rsidRPr="00DC2CE0">
        <w:rPr>
          <w:b/>
        </w:rPr>
        <w:t xml:space="preserve">Mr </w:t>
      </w:r>
      <w:proofErr w:type="spellStart"/>
      <w:r w:rsidR="00134F7B" w:rsidRPr="00DC2CE0">
        <w:rPr>
          <w:b/>
        </w:rPr>
        <w:t>Živojin</w:t>
      </w:r>
      <w:proofErr w:type="spellEnd"/>
      <w:r w:rsidR="00134F7B" w:rsidRPr="00DC2CE0">
        <w:rPr>
          <w:b/>
        </w:rPr>
        <w:t xml:space="preserve"> </w:t>
      </w:r>
      <w:proofErr w:type="spellStart"/>
      <w:r w:rsidR="00134F7B" w:rsidRPr="00DC2CE0">
        <w:rPr>
          <w:b/>
        </w:rPr>
        <w:t>Pavić</w:t>
      </w:r>
      <w:proofErr w:type="spellEnd"/>
    </w:p>
    <w:p w:rsidR="00134F7B" w:rsidRPr="00DC2CE0" w:rsidRDefault="00134F7B" w:rsidP="00134F7B">
      <w:pPr>
        <w:jc w:val="both"/>
        <w:rPr>
          <w:i/>
        </w:rPr>
      </w:pPr>
    </w:p>
    <w:p w:rsidR="00134F7B" w:rsidRPr="00DC2CE0" w:rsidRDefault="00134F7B" w:rsidP="00134F7B">
      <w:pPr>
        <w:numPr>
          <w:ilvl w:val="0"/>
          <w:numId w:val="2"/>
        </w:numPr>
        <w:jc w:val="both"/>
      </w:pPr>
      <w:r w:rsidRPr="00DC2CE0">
        <w:t xml:space="preserve">The complainant is the wife of Mr </w:t>
      </w:r>
      <w:proofErr w:type="spellStart"/>
      <w:r w:rsidRPr="00DC2CE0">
        <w:t>Pavić</w:t>
      </w:r>
      <w:proofErr w:type="spellEnd"/>
      <w:r w:rsidRPr="00DC2CE0">
        <w:t xml:space="preserve">. She states that he </w:t>
      </w:r>
      <w:r w:rsidR="00132C23" w:rsidRPr="00DC2CE0">
        <w:t>was abducted</w:t>
      </w:r>
      <w:r w:rsidRPr="00DC2CE0">
        <w:t xml:space="preserve"> o</w:t>
      </w:r>
      <w:r w:rsidR="00BF2552" w:rsidRPr="00DC2CE0">
        <w:t>n 19 June 1999</w:t>
      </w:r>
      <w:r w:rsidR="000A6347" w:rsidRPr="00DC2CE0">
        <w:t>,</w:t>
      </w:r>
      <w:r w:rsidR="00BF2552" w:rsidRPr="00DC2CE0">
        <w:t xml:space="preserve"> along with Mr</w:t>
      </w:r>
      <w:r w:rsidRPr="00DC2CE0">
        <w:t xml:space="preserve"> G.M. and</w:t>
      </w:r>
      <w:r w:rsidR="00BF2552" w:rsidRPr="00DC2CE0">
        <w:t xml:space="preserve"> Mr</w:t>
      </w:r>
      <w:r w:rsidRPr="00DC2CE0">
        <w:t xml:space="preserve"> P.M. </w:t>
      </w:r>
    </w:p>
    <w:p w:rsidR="00134F7B" w:rsidRPr="00DC2CE0" w:rsidRDefault="00134F7B" w:rsidP="00134F7B">
      <w:pPr>
        <w:ind w:left="360"/>
        <w:jc w:val="both"/>
      </w:pPr>
    </w:p>
    <w:p w:rsidR="00134F7B" w:rsidRPr="00DC2CE0" w:rsidRDefault="00134F7B" w:rsidP="00134F7B">
      <w:pPr>
        <w:numPr>
          <w:ilvl w:val="0"/>
          <w:numId w:val="2"/>
        </w:numPr>
        <w:jc w:val="both"/>
      </w:pPr>
      <w:r w:rsidRPr="00DC2CE0">
        <w:t xml:space="preserve">According to information from the complainant, </w:t>
      </w:r>
      <w:r w:rsidR="000A6347" w:rsidRPr="00DC2CE0">
        <w:t xml:space="preserve">on 19 June 1999 </w:t>
      </w:r>
      <w:r w:rsidRPr="00DC2CE0">
        <w:t xml:space="preserve">the three persons were transporting furniture from </w:t>
      </w:r>
      <w:proofErr w:type="spellStart"/>
      <w:r w:rsidRPr="00DC2CE0">
        <w:t>Slivovë</w:t>
      </w:r>
      <w:proofErr w:type="spellEnd"/>
      <w:r w:rsidRPr="00DC2CE0">
        <w:t>/</w:t>
      </w:r>
      <w:proofErr w:type="spellStart"/>
      <w:r w:rsidRPr="00DC2CE0">
        <w:t>Slivovo</w:t>
      </w:r>
      <w:proofErr w:type="spellEnd"/>
      <w:r w:rsidRPr="00DC2CE0">
        <w:t xml:space="preserve"> village in </w:t>
      </w:r>
      <w:proofErr w:type="spellStart"/>
      <w:r w:rsidRPr="00DC2CE0">
        <w:t>Prishtinë</w:t>
      </w:r>
      <w:proofErr w:type="spellEnd"/>
      <w:r w:rsidRPr="00DC2CE0">
        <w:t>/</w:t>
      </w:r>
      <w:proofErr w:type="spellStart"/>
      <w:r w:rsidRPr="00DC2CE0">
        <w:t>Priština</w:t>
      </w:r>
      <w:proofErr w:type="spellEnd"/>
      <w:r w:rsidRPr="00DC2CE0">
        <w:t xml:space="preserve"> </w:t>
      </w:r>
      <w:r w:rsidR="000A6347" w:rsidRPr="00DC2CE0">
        <w:t>m</w:t>
      </w:r>
      <w:r w:rsidRPr="00DC2CE0">
        <w:t xml:space="preserve">unicipality through </w:t>
      </w:r>
      <w:proofErr w:type="spellStart"/>
      <w:r w:rsidRPr="00DC2CE0">
        <w:t>Gjilan</w:t>
      </w:r>
      <w:proofErr w:type="spellEnd"/>
      <w:r w:rsidRPr="00DC2CE0">
        <w:t>/</w:t>
      </w:r>
      <w:proofErr w:type="spellStart"/>
      <w:r w:rsidRPr="00DC2CE0">
        <w:t>Gnjilane</w:t>
      </w:r>
      <w:proofErr w:type="spellEnd"/>
      <w:r w:rsidR="000A6347" w:rsidRPr="00DC2CE0">
        <w:t>,</w:t>
      </w:r>
      <w:r w:rsidRPr="00DC2CE0">
        <w:t xml:space="preserve"> on their way to central Serbia. When they reached </w:t>
      </w:r>
      <w:proofErr w:type="spellStart"/>
      <w:r w:rsidRPr="00DC2CE0">
        <w:t>Llabjan</w:t>
      </w:r>
      <w:proofErr w:type="spellEnd"/>
      <w:r w:rsidRPr="00DC2CE0">
        <w:t>/</w:t>
      </w:r>
      <w:proofErr w:type="spellStart"/>
      <w:r w:rsidRPr="00DC2CE0">
        <w:t>Labljane</w:t>
      </w:r>
      <w:proofErr w:type="spellEnd"/>
      <w:r w:rsidRPr="00DC2CE0">
        <w:t xml:space="preserve"> village in </w:t>
      </w:r>
      <w:proofErr w:type="spellStart"/>
      <w:r w:rsidR="000A6347" w:rsidRPr="00DC2CE0">
        <w:rPr>
          <w:bCs/>
        </w:rPr>
        <w:t>Novobërdë</w:t>
      </w:r>
      <w:proofErr w:type="spellEnd"/>
      <w:r w:rsidR="000A6347" w:rsidRPr="00DC2CE0">
        <w:rPr>
          <w:bCs/>
        </w:rPr>
        <w:t xml:space="preserve">/Novo </w:t>
      </w:r>
      <w:proofErr w:type="spellStart"/>
      <w:r w:rsidR="000A6347" w:rsidRPr="00DC2CE0">
        <w:rPr>
          <w:bCs/>
        </w:rPr>
        <w:t>Brdo</w:t>
      </w:r>
      <w:proofErr w:type="spellEnd"/>
      <w:r w:rsidR="000A6347" w:rsidRPr="00DC2CE0">
        <w:rPr>
          <w:bCs/>
        </w:rPr>
        <w:t xml:space="preserve"> m</w:t>
      </w:r>
      <w:r w:rsidRPr="00DC2CE0">
        <w:rPr>
          <w:bCs/>
        </w:rPr>
        <w:t xml:space="preserve">unicipality, they were allegedly stopped by unknown men in </w:t>
      </w:r>
      <w:r w:rsidR="00BF2552" w:rsidRPr="00DC2CE0">
        <w:rPr>
          <w:bCs/>
        </w:rPr>
        <w:t>KLA</w:t>
      </w:r>
      <w:r w:rsidRPr="00DC2CE0">
        <w:rPr>
          <w:bCs/>
        </w:rPr>
        <w:t xml:space="preserve"> uniforms and taken in an unknown direction. </w:t>
      </w:r>
    </w:p>
    <w:p w:rsidR="00134F7B" w:rsidRPr="00DC2CE0" w:rsidRDefault="00134F7B" w:rsidP="00134F7B">
      <w:pPr>
        <w:ind w:left="360"/>
        <w:jc w:val="both"/>
      </w:pPr>
    </w:p>
    <w:p w:rsidR="00134F7B" w:rsidRPr="00DC2CE0" w:rsidRDefault="00134F7B" w:rsidP="00134F7B">
      <w:pPr>
        <w:numPr>
          <w:ilvl w:val="0"/>
          <w:numId w:val="2"/>
        </w:numPr>
        <w:jc w:val="both"/>
      </w:pPr>
      <w:r w:rsidRPr="00DC2CE0">
        <w:t xml:space="preserve">The complainant states that the </w:t>
      </w:r>
      <w:r w:rsidR="00132C23" w:rsidRPr="00DC2CE0">
        <w:t>abductions</w:t>
      </w:r>
      <w:r w:rsidRPr="00DC2CE0">
        <w:t xml:space="preserve"> </w:t>
      </w:r>
      <w:r w:rsidR="00132C23" w:rsidRPr="00DC2CE0">
        <w:t>were</w:t>
      </w:r>
      <w:r w:rsidRPr="00DC2CE0">
        <w:t xml:space="preserve"> reported to UNMIK Police and to KFOR. She claims that an investigation was conducted, but that the family has no concrete information regarding the investigation. The complainant further states that members of UNMIK Police visited the family a number of times regarding the investigation. They allegedly explained that the lack of progress on the investigation was due to the fact that the police </w:t>
      </w:r>
      <w:r w:rsidR="000A6347" w:rsidRPr="00DC2CE0">
        <w:t xml:space="preserve">officers </w:t>
      </w:r>
      <w:r w:rsidRPr="00DC2CE0">
        <w:t xml:space="preserve">changed every six months to one year and the new police officers had to re-start the investigation after each rotation of staff. The complainant also states that every time the police changed, she had to repeat her statements to the new arrivals. </w:t>
      </w:r>
    </w:p>
    <w:p w:rsidR="00134F7B" w:rsidRPr="00DC2CE0" w:rsidRDefault="00134F7B" w:rsidP="00134F7B">
      <w:pPr>
        <w:ind w:left="360"/>
        <w:jc w:val="both"/>
      </w:pPr>
    </w:p>
    <w:p w:rsidR="00134F7B" w:rsidRPr="00DC2CE0" w:rsidRDefault="00134F7B" w:rsidP="00134F7B">
      <w:pPr>
        <w:numPr>
          <w:ilvl w:val="0"/>
          <w:numId w:val="2"/>
        </w:numPr>
        <w:jc w:val="both"/>
      </w:pPr>
      <w:r w:rsidRPr="00DC2CE0">
        <w:t xml:space="preserve">The complainant specifically mentions one event involving a British KFOR officer who allegedly informed the complainant’s son that he would bring the missing person to the family in two </w:t>
      </w:r>
      <w:proofErr w:type="spellStart"/>
      <w:r w:rsidRPr="00DC2CE0">
        <w:t>days time</w:t>
      </w:r>
      <w:proofErr w:type="spellEnd"/>
      <w:r w:rsidRPr="00DC2CE0">
        <w:t>. According to the complainant, a few days after this statement, the same officer informed the complainant that he had to return to the United Kingdom. He did not provide any explanation regarding his earlier promise or his sudden repatriation. The complainant speculates that the officer discovered some information regarding the three missing persons</w:t>
      </w:r>
      <w:r w:rsidR="000A6347" w:rsidRPr="00DC2CE0">
        <w:t>,</w:t>
      </w:r>
      <w:r w:rsidRPr="00DC2CE0">
        <w:t xml:space="preserve"> but was prevented from sharing it with the complainant’s son. </w:t>
      </w:r>
    </w:p>
    <w:p w:rsidR="00134F7B" w:rsidRPr="00DC2CE0" w:rsidRDefault="00134F7B" w:rsidP="00134F7B">
      <w:pPr>
        <w:jc w:val="both"/>
      </w:pPr>
    </w:p>
    <w:p w:rsidR="00134F7B" w:rsidRPr="00DC2CE0" w:rsidRDefault="00134F7B" w:rsidP="00134F7B">
      <w:pPr>
        <w:numPr>
          <w:ilvl w:val="0"/>
          <w:numId w:val="2"/>
        </w:numPr>
        <w:jc w:val="both"/>
      </w:pPr>
      <w:r w:rsidRPr="00DC2CE0">
        <w:t xml:space="preserve">The whereabouts of Mr </w:t>
      </w:r>
      <w:proofErr w:type="spellStart"/>
      <w:r w:rsidRPr="00DC2CE0">
        <w:t>Pavić</w:t>
      </w:r>
      <w:proofErr w:type="spellEnd"/>
      <w:r w:rsidRPr="00DC2CE0">
        <w:t xml:space="preserve"> remain unknown to date. </w:t>
      </w:r>
    </w:p>
    <w:p w:rsidR="007F14A5" w:rsidRPr="00DC2CE0" w:rsidRDefault="007F14A5" w:rsidP="007F14A5">
      <w:pPr>
        <w:jc w:val="both"/>
      </w:pPr>
    </w:p>
    <w:p w:rsidR="00DD634F" w:rsidRPr="00DC2CE0" w:rsidRDefault="00DB3B87" w:rsidP="001707FB">
      <w:pPr>
        <w:numPr>
          <w:ilvl w:val="0"/>
          <w:numId w:val="2"/>
        </w:numPr>
        <w:jc w:val="both"/>
      </w:pPr>
      <w:r w:rsidRPr="00DC2CE0">
        <w:t>On 2</w:t>
      </w:r>
      <w:r w:rsidR="00F47687" w:rsidRPr="00DC2CE0">
        <w:t>0</w:t>
      </w:r>
      <w:r w:rsidRPr="00DC2CE0">
        <w:t xml:space="preserve"> August 1999, the ICRC opened a tracing request for </w:t>
      </w:r>
      <w:r w:rsidR="00F47687" w:rsidRPr="00DC2CE0">
        <w:t xml:space="preserve">Mr </w:t>
      </w:r>
      <w:proofErr w:type="spellStart"/>
      <w:r w:rsidR="00F47687" w:rsidRPr="00DC2CE0">
        <w:t>Živojin</w:t>
      </w:r>
      <w:proofErr w:type="spellEnd"/>
      <w:r w:rsidR="00F47687" w:rsidRPr="00DC2CE0">
        <w:t xml:space="preserve"> </w:t>
      </w:r>
      <w:proofErr w:type="spellStart"/>
      <w:r w:rsidR="00F47687" w:rsidRPr="00DC2CE0">
        <w:t>Pavić</w:t>
      </w:r>
      <w:proofErr w:type="spellEnd"/>
      <w:r w:rsidR="000A6347" w:rsidRPr="00DC2CE0">
        <w:t>,</w:t>
      </w:r>
      <w:r w:rsidRPr="00DC2CE0">
        <w:t xml:space="preserve"> </w:t>
      </w:r>
      <w:r w:rsidR="00F47687" w:rsidRPr="00DC2CE0">
        <w:t>which remains open. His name likewise appears in the online database maintained by the ICMP</w:t>
      </w:r>
      <w:r w:rsidR="000969C4" w:rsidRPr="00DC2CE0">
        <w:rPr>
          <w:rStyle w:val="FootnoteReference"/>
        </w:rPr>
        <w:footnoteReference w:id="3"/>
      </w:r>
      <w:r w:rsidR="00F47687" w:rsidRPr="00DC2CE0">
        <w:t xml:space="preserve"> and in the database compiled by the OMPF</w:t>
      </w:r>
      <w:r w:rsidR="00AD4AFA" w:rsidRPr="00DC2CE0">
        <w:t xml:space="preserve">. </w:t>
      </w:r>
    </w:p>
    <w:p w:rsidR="00E73730" w:rsidRPr="00DC2CE0" w:rsidRDefault="00E73730" w:rsidP="00E73730">
      <w:pPr>
        <w:jc w:val="both"/>
      </w:pPr>
    </w:p>
    <w:p w:rsidR="00E73730" w:rsidRPr="00DC2CE0" w:rsidRDefault="00E73730" w:rsidP="00E73730">
      <w:pPr>
        <w:jc w:val="both"/>
        <w:rPr>
          <w:b/>
        </w:rPr>
      </w:pPr>
      <w:r w:rsidRPr="00DC2CE0">
        <w:rPr>
          <w:b/>
        </w:rPr>
        <w:t>C. The investigation</w:t>
      </w:r>
    </w:p>
    <w:p w:rsidR="00E73730" w:rsidRPr="00DC2CE0" w:rsidRDefault="00E73730" w:rsidP="00E73730">
      <w:pPr>
        <w:jc w:val="both"/>
        <w:rPr>
          <w:i/>
        </w:rPr>
      </w:pPr>
    </w:p>
    <w:p w:rsidR="00E73730" w:rsidRPr="00DC2CE0" w:rsidRDefault="004D4DE6" w:rsidP="004D4DE6">
      <w:pPr>
        <w:jc w:val="both"/>
        <w:rPr>
          <w:i/>
        </w:rPr>
      </w:pPr>
      <w:r w:rsidRPr="00DC2CE0">
        <w:rPr>
          <w:i/>
        </w:rPr>
        <w:t xml:space="preserve">a) </w:t>
      </w:r>
      <w:r w:rsidR="00E73730" w:rsidRPr="00DC2CE0">
        <w:rPr>
          <w:i/>
        </w:rPr>
        <w:t>Disclosure of relevant files</w:t>
      </w:r>
    </w:p>
    <w:p w:rsidR="00E73730" w:rsidRPr="00DC2CE0" w:rsidRDefault="00E73730" w:rsidP="00E73730">
      <w:pPr>
        <w:pStyle w:val="ListParagraph"/>
      </w:pPr>
    </w:p>
    <w:p w:rsidR="0058721F" w:rsidRPr="00DC2CE0" w:rsidRDefault="00F20E89" w:rsidP="0058721F">
      <w:pPr>
        <w:pStyle w:val="ListParagraph"/>
        <w:numPr>
          <w:ilvl w:val="0"/>
          <w:numId w:val="2"/>
        </w:numPr>
        <w:jc w:val="both"/>
      </w:pPr>
      <w:r w:rsidRPr="00DC2CE0">
        <w:t xml:space="preserve">In the present case, the Panel received from UNMIK investigative documents previously held by </w:t>
      </w:r>
      <w:r w:rsidR="000A6347" w:rsidRPr="00DC2CE0">
        <w:t xml:space="preserve">the </w:t>
      </w:r>
      <w:r w:rsidRPr="00DC2CE0">
        <w:t xml:space="preserve">UNMIK OMPF and MPU.  </w:t>
      </w:r>
      <w:r w:rsidR="00802830" w:rsidRPr="00DC2CE0">
        <w:t xml:space="preserve"> </w:t>
      </w:r>
    </w:p>
    <w:p w:rsidR="0058721F" w:rsidRPr="00DC2CE0" w:rsidRDefault="0058721F" w:rsidP="0058721F">
      <w:pPr>
        <w:pStyle w:val="ListParagraph"/>
        <w:ind w:left="360"/>
        <w:jc w:val="both"/>
      </w:pPr>
    </w:p>
    <w:p w:rsidR="00CB5C40" w:rsidRPr="00DC2CE0" w:rsidRDefault="00CB5C40" w:rsidP="0058721F">
      <w:pPr>
        <w:pStyle w:val="ListParagraph"/>
        <w:numPr>
          <w:ilvl w:val="0"/>
          <w:numId w:val="2"/>
        </w:numPr>
        <w:jc w:val="both"/>
      </w:pPr>
      <w:r w:rsidRPr="00DC2CE0">
        <w:t xml:space="preserve">Concerning disclosure of information contained in the files, the Panel recalls that UNMIK has made available investigation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steps taken by investigative authorities is provided in the paragraphs to follow.  </w:t>
      </w:r>
    </w:p>
    <w:p w:rsidR="00F25A1E" w:rsidRPr="00DC2CE0" w:rsidRDefault="00F25A1E" w:rsidP="00F25A1E">
      <w:pPr>
        <w:pStyle w:val="ListParagraph"/>
      </w:pPr>
    </w:p>
    <w:p w:rsidR="008074AC" w:rsidRPr="00DC2CE0" w:rsidRDefault="008074AC" w:rsidP="008074AC">
      <w:pPr>
        <w:pStyle w:val="ListParagraph"/>
        <w:numPr>
          <w:ilvl w:val="0"/>
          <w:numId w:val="2"/>
        </w:numPr>
        <w:jc w:val="both"/>
      </w:pPr>
      <w:r w:rsidRPr="00DC2CE0">
        <w:t xml:space="preserve">The case file contains an undated but completed Victim Identification Form for Mr </w:t>
      </w:r>
      <w:proofErr w:type="spellStart"/>
      <w:r w:rsidRPr="00DC2CE0">
        <w:t>Pavić</w:t>
      </w:r>
      <w:proofErr w:type="spellEnd"/>
      <w:r w:rsidRPr="00DC2CE0">
        <w:t>.</w:t>
      </w:r>
    </w:p>
    <w:p w:rsidR="008074AC" w:rsidRPr="00DC2CE0" w:rsidRDefault="008074AC" w:rsidP="008074AC">
      <w:pPr>
        <w:pStyle w:val="ListParagraph"/>
        <w:ind w:left="360"/>
        <w:jc w:val="both"/>
      </w:pPr>
    </w:p>
    <w:p w:rsidR="00947992" w:rsidRPr="00DC2CE0" w:rsidRDefault="00947992" w:rsidP="00947992">
      <w:pPr>
        <w:pStyle w:val="ListParagraph"/>
        <w:numPr>
          <w:ilvl w:val="0"/>
          <w:numId w:val="2"/>
        </w:numPr>
        <w:jc w:val="both"/>
      </w:pPr>
      <w:r w:rsidRPr="00DC2CE0">
        <w:t xml:space="preserve">The case file </w:t>
      </w:r>
      <w:r w:rsidR="008074AC" w:rsidRPr="00DC2CE0">
        <w:t>includes</w:t>
      </w:r>
      <w:r w:rsidRPr="00DC2CE0">
        <w:t xml:space="preserve"> an undated summary </w:t>
      </w:r>
      <w:r w:rsidR="00B33028" w:rsidRPr="00DC2CE0">
        <w:t>with regard to the activities</w:t>
      </w:r>
      <w:r w:rsidR="000A6347" w:rsidRPr="00DC2CE0">
        <w:t xml:space="preserve"> UNMIK P</w:t>
      </w:r>
      <w:r w:rsidRPr="00DC2CE0">
        <w:t>olice</w:t>
      </w:r>
      <w:r w:rsidR="00B33028" w:rsidRPr="00DC2CE0">
        <w:t xml:space="preserve"> have taken with </w:t>
      </w:r>
      <w:r w:rsidR="00D97F4A" w:rsidRPr="00DC2CE0">
        <w:t>respect</w:t>
      </w:r>
      <w:r w:rsidR="00B33028" w:rsidRPr="00DC2CE0">
        <w:t xml:space="preserve"> </w:t>
      </w:r>
      <w:r w:rsidRPr="00DC2CE0">
        <w:t xml:space="preserve">to this investigation. It names those investigators having responsibility for the case and describes a </w:t>
      </w:r>
      <w:r w:rsidR="0017066D" w:rsidRPr="00DC2CE0">
        <w:t>meeting</w:t>
      </w:r>
      <w:r w:rsidR="008074AC" w:rsidRPr="00DC2CE0">
        <w:t xml:space="preserve"> on 30 September 1999</w:t>
      </w:r>
      <w:r w:rsidR="0017066D" w:rsidRPr="00DC2CE0">
        <w:t xml:space="preserve"> with </w:t>
      </w:r>
      <w:r w:rsidR="006E7EB0" w:rsidRPr="00DC2CE0">
        <w:t>Ms V.B.</w:t>
      </w:r>
      <w:r w:rsidR="000A6347" w:rsidRPr="00DC2CE0">
        <w:t>,</w:t>
      </w:r>
      <w:r w:rsidRPr="00DC2CE0">
        <w:t xml:space="preserve"> </w:t>
      </w:r>
      <w:r w:rsidR="0017066D" w:rsidRPr="00DC2CE0">
        <w:t xml:space="preserve">who identifies herself as </w:t>
      </w:r>
      <w:r w:rsidRPr="00DC2CE0">
        <w:t xml:space="preserve">the owner of the vehicle which was being used by Mr </w:t>
      </w:r>
      <w:proofErr w:type="spellStart"/>
      <w:r w:rsidRPr="00DC2CE0">
        <w:t>Pavić</w:t>
      </w:r>
      <w:proofErr w:type="spellEnd"/>
      <w:r w:rsidRPr="00DC2CE0">
        <w:t xml:space="preserve"> and </w:t>
      </w:r>
      <w:r w:rsidR="006E7EB0" w:rsidRPr="00DC2CE0">
        <w:t>Mr</w:t>
      </w:r>
      <w:r w:rsidRPr="00DC2CE0">
        <w:t xml:space="preserve"> G.M. and </w:t>
      </w:r>
      <w:r w:rsidR="006E7EB0" w:rsidRPr="00DC2CE0">
        <w:t xml:space="preserve">Mr </w:t>
      </w:r>
      <w:r w:rsidRPr="00DC2CE0">
        <w:t>P.M. on the day of the abduction.</w:t>
      </w:r>
      <w:r w:rsidR="0017066D" w:rsidRPr="00DC2CE0">
        <w:t xml:space="preserve"> </w:t>
      </w:r>
      <w:r w:rsidR="006E7EB0" w:rsidRPr="00DC2CE0">
        <w:t xml:space="preserve">Ms </w:t>
      </w:r>
      <w:r w:rsidR="0017066D" w:rsidRPr="00DC2CE0">
        <w:t>V.B. describes the events, possible location where the men were subsequently held</w:t>
      </w:r>
      <w:r w:rsidR="000A6347" w:rsidRPr="00DC2CE0">
        <w:t>,</w:t>
      </w:r>
      <w:r w:rsidR="0017066D" w:rsidRPr="00DC2CE0">
        <w:t xml:space="preserve"> as well as </w:t>
      </w:r>
      <w:r w:rsidR="00B33028" w:rsidRPr="00DC2CE0">
        <w:t>potential</w:t>
      </w:r>
      <w:r w:rsidR="008074AC" w:rsidRPr="00DC2CE0">
        <w:t xml:space="preserve"> </w:t>
      </w:r>
      <w:r w:rsidR="0017066D" w:rsidRPr="00DC2CE0">
        <w:t>witnesses.</w:t>
      </w:r>
      <w:r w:rsidR="008074AC" w:rsidRPr="00DC2CE0">
        <w:t xml:space="preserve"> </w:t>
      </w:r>
    </w:p>
    <w:p w:rsidR="008074AC" w:rsidRPr="00DC2CE0" w:rsidRDefault="008074AC" w:rsidP="008074AC">
      <w:pPr>
        <w:jc w:val="both"/>
      </w:pPr>
    </w:p>
    <w:p w:rsidR="000E6508" w:rsidRPr="00DC2CE0" w:rsidRDefault="000E6508" w:rsidP="00F20E89">
      <w:pPr>
        <w:pStyle w:val="ListParagraph"/>
        <w:numPr>
          <w:ilvl w:val="0"/>
          <w:numId w:val="2"/>
        </w:numPr>
        <w:jc w:val="both"/>
      </w:pPr>
      <w:r w:rsidRPr="00DC2CE0">
        <w:t>The case file contains</w:t>
      </w:r>
      <w:r w:rsidR="000A6347" w:rsidRPr="00DC2CE0">
        <w:t xml:space="preserve"> an undated note from an UNMIK P</w:t>
      </w:r>
      <w:r w:rsidRPr="00DC2CE0">
        <w:t>olice officer with regard to actions</w:t>
      </w:r>
      <w:r w:rsidR="00B33028" w:rsidRPr="00DC2CE0">
        <w:t xml:space="preserve"> that need to be taken in the investigation</w:t>
      </w:r>
      <w:r w:rsidRPr="00DC2CE0">
        <w:t xml:space="preserve">. Specifically, it stresses the need to find relatives of the victim in the case. It also highlights that “we cannot go any further in our investigation concerning the possible suspects. If we take any statements from these people we will have to charge them, otherwise, if we just take statements without giving them the charges we might spoil the case if it is ever brought to trial”. The note concludes that “our only task is to find the missing person not the perpetrator”.  </w:t>
      </w:r>
    </w:p>
    <w:p w:rsidR="000E6508" w:rsidRPr="00DC2CE0" w:rsidRDefault="000E6508" w:rsidP="000E6508">
      <w:pPr>
        <w:pStyle w:val="ListParagraph"/>
      </w:pPr>
    </w:p>
    <w:p w:rsidR="00F20E89" w:rsidRPr="00DC2CE0" w:rsidRDefault="00F25A1E" w:rsidP="00F20E89">
      <w:pPr>
        <w:pStyle w:val="ListParagraph"/>
        <w:numPr>
          <w:ilvl w:val="0"/>
          <w:numId w:val="2"/>
        </w:numPr>
        <w:jc w:val="both"/>
      </w:pPr>
      <w:r w:rsidRPr="00DC2CE0">
        <w:t xml:space="preserve">The case file contains </w:t>
      </w:r>
      <w:r w:rsidR="000E6508" w:rsidRPr="00DC2CE0">
        <w:t>a signed</w:t>
      </w:r>
      <w:r w:rsidRPr="00DC2CE0">
        <w:t xml:space="preserve"> witness statement of </w:t>
      </w:r>
      <w:r w:rsidR="006E7EB0" w:rsidRPr="00DC2CE0">
        <w:t xml:space="preserve">Ms </w:t>
      </w:r>
      <w:r w:rsidRPr="00DC2CE0">
        <w:t>V.B.</w:t>
      </w:r>
      <w:r w:rsidR="000A6347" w:rsidRPr="00DC2CE0">
        <w:t>,</w:t>
      </w:r>
      <w:r w:rsidRPr="00DC2CE0">
        <w:t xml:space="preserve"> dated 27 August 1999. The statement recounts the events and identifies those persons believed to have abducted Mr </w:t>
      </w:r>
      <w:proofErr w:type="spellStart"/>
      <w:r w:rsidRPr="00DC2CE0">
        <w:t>Pavić</w:t>
      </w:r>
      <w:proofErr w:type="spellEnd"/>
      <w:r w:rsidRPr="00DC2CE0">
        <w:t xml:space="preserve"> and </w:t>
      </w:r>
      <w:r w:rsidR="006E7EB0" w:rsidRPr="00DC2CE0">
        <w:t>Mr</w:t>
      </w:r>
      <w:r w:rsidRPr="00DC2CE0">
        <w:t xml:space="preserve"> G.M. and </w:t>
      </w:r>
      <w:r w:rsidR="006E7EB0" w:rsidRPr="00DC2CE0">
        <w:t xml:space="preserve">Mr </w:t>
      </w:r>
      <w:r w:rsidRPr="00DC2CE0">
        <w:t xml:space="preserve">P.M. </w:t>
      </w:r>
      <w:r w:rsidR="006F1F84" w:rsidRPr="00DC2CE0">
        <w:t xml:space="preserve">It also records that </w:t>
      </w:r>
      <w:r w:rsidR="006E7EB0" w:rsidRPr="00DC2CE0">
        <w:t xml:space="preserve">Ms </w:t>
      </w:r>
      <w:r w:rsidR="006F1F84" w:rsidRPr="00DC2CE0">
        <w:t xml:space="preserve">V.B. recounts that two hours later two further civilians were harassed and searched at the same location </w:t>
      </w:r>
      <w:r w:rsidR="000A6347" w:rsidRPr="00DC2CE0">
        <w:t xml:space="preserve">from </w:t>
      </w:r>
      <w:r w:rsidR="006F1F84" w:rsidRPr="00DC2CE0">
        <w:t xml:space="preserve">where Mr </w:t>
      </w:r>
      <w:proofErr w:type="spellStart"/>
      <w:r w:rsidR="006F1F84" w:rsidRPr="00DC2CE0">
        <w:t>Pavić</w:t>
      </w:r>
      <w:proofErr w:type="spellEnd"/>
      <w:r w:rsidR="006F1F84" w:rsidRPr="00DC2CE0">
        <w:t xml:space="preserve"> and </w:t>
      </w:r>
      <w:r w:rsidR="006E7EB0" w:rsidRPr="00DC2CE0">
        <w:t>Mr</w:t>
      </w:r>
      <w:r w:rsidR="006F1F84" w:rsidRPr="00DC2CE0">
        <w:t xml:space="preserve"> G.M. and </w:t>
      </w:r>
      <w:r w:rsidR="006E7EB0" w:rsidRPr="00DC2CE0">
        <w:t xml:space="preserve">Mr </w:t>
      </w:r>
      <w:r w:rsidR="006F1F84" w:rsidRPr="00DC2CE0">
        <w:t>P.M. had been taken.</w:t>
      </w:r>
    </w:p>
    <w:p w:rsidR="000E6508" w:rsidRPr="00DC2CE0" w:rsidRDefault="000E6508" w:rsidP="000E6508">
      <w:pPr>
        <w:pStyle w:val="ListParagraph"/>
      </w:pPr>
    </w:p>
    <w:p w:rsidR="002404D1" w:rsidRPr="00DC2CE0" w:rsidRDefault="007071B8" w:rsidP="002404D1">
      <w:pPr>
        <w:numPr>
          <w:ilvl w:val="0"/>
          <w:numId w:val="2"/>
        </w:numPr>
        <w:jc w:val="both"/>
      </w:pPr>
      <w:r w:rsidRPr="00DC2CE0">
        <w:t xml:space="preserve">The case </w:t>
      </w:r>
      <w:r w:rsidR="002404D1" w:rsidRPr="00DC2CE0">
        <w:t xml:space="preserve">file records a review of the investigation </w:t>
      </w:r>
      <w:r w:rsidRPr="00DC2CE0">
        <w:t xml:space="preserve">by an UNMIK police officer </w:t>
      </w:r>
      <w:r w:rsidR="002404D1" w:rsidRPr="00DC2CE0">
        <w:t>dated 29 September 1999</w:t>
      </w:r>
      <w:r w:rsidR="00663B20" w:rsidRPr="00DC2CE0">
        <w:t>. The review details the victim</w:t>
      </w:r>
      <w:r w:rsidRPr="00DC2CE0">
        <w:t xml:space="preserve"> of the abduction as well as poss</w:t>
      </w:r>
      <w:r w:rsidR="00994383" w:rsidRPr="00DC2CE0">
        <w:t>ible witnesses and suspects. It</w:t>
      </w:r>
      <w:r w:rsidRPr="00DC2CE0">
        <w:t xml:space="preserve"> </w:t>
      </w:r>
      <w:r w:rsidR="000A6347" w:rsidRPr="00DC2CE0">
        <w:t>summarises</w:t>
      </w:r>
      <w:r w:rsidRPr="00DC2CE0">
        <w:t xml:space="preserve"> the facts of the case and then</w:t>
      </w:r>
      <w:r w:rsidR="000A6347" w:rsidRPr="00DC2CE0">
        <w:t>,</w:t>
      </w:r>
      <w:r w:rsidRPr="00DC2CE0">
        <w:t xml:space="preserve"> under the heading</w:t>
      </w:r>
      <w:r w:rsidR="000A6347" w:rsidRPr="00DC2CE0">
        <w:t>,</w:t>
      </w:r>
      <w:r w:rsidRPr="00DC2CE0">
        <w:t xml:space="preserve"> “Investigators Concerns” </w:t>
      </w:r>
      <w:r w:rsidR="00D97F4A" w:rsidRPr="00DC2CE0">
        <w:t>hig</w:t>
      </w:r>
      <w:r w:rsidR="00BF2552" w:rsidRPr="00DC2CE0">
        <w:t>h</w:t>
      </w:r>
      <w:r w:rsidR="00D97F4A" w:rsidRPr="00DC2CE0">
        <w:t>lights</w:t>
      </w:r>
      <w:r w:rsidRPr="00DC2CE0">
        <w:t xml:space="preserve"> the absence of certain documentation</w:t>
      </w:r>
      <w:r w:rsidR="00B33028" w:rsidRPr="00DC2CE0">
        <w:t xml:space="preserve"> in the file,</w:t>
      </w:r>
      <w:r w:rsidRPr="00DC2CE0">
        <w:t xml:space="preserve"> such as investigators</w:t>
      </w:r>
      <w:r w:rsidR="00994383" w:rsidRPr="00DC2CE0">
        <w:t>’</w:t>
      </w:r>
      <w:r w:rsidRPr="00DC2CE0">
        <w:t xml:space="preserve"> notes and statements</w:t>
      </w:r>
      <w:r w:rsidR="00994383" w:rsidRPr="00DC2CE0">
        <w:t>. It</w:t>
      </w:r>
      <w:r w:rsidRPr="00DC2CE0">
        <w:t xml:space="preserve"> concludes that “the information contained </w:t>
      </w:r>
      <w:r w:rsidR="001E01AA" w:rsidRPr="00DC2CE0">
        <w:t xml:space="preserve">in </w:t>
      </w:r>
      <w:r w:rsidRPr="00DC2CE0">
        <w:t>previously noted reports are both confusing and misleading. There is no clear concrete information available as it relates to statements taken and the notes/documentation of the investigators”. As a result</w:t>
      </w:r>
      <w:r w:rsidR="00994383" w:rsidRPr="00DC2CE0">
        <w:t>,</w:t>
      </w:r>
      <w:r w:rsidRPr="00DC2CE0">
        <w:t xml:space="preserve"> the author </w:t>
      </w:r>
      <w:r w:rsidR="00994383" w:rsidRPr="00DC2CE0">
        <w:t xml:space="preserve">of the </w:t>
      </w:r>
      <w:r w:rsidRPr="00DC2CE0">
        <w:t xml:space="preserve">report recommends recommencing the investigation by interviewing. </w:t>
      </w:r>
      <w:r w:rsidR="006E7EB0" w:rsidRPr="00DC2CE0">
        <w:t xml:space="preserve">Ms </w:t>
      </w:r>
      <w:r w:rsidRPr="00DC2CE0">
        <w:t>V.B.</w:t>
      </w:r>
      <w:r w:rsidR="00994383" w:rsidRPr="00DC2CE0">
        <w:t>,</w:t>
      </w:r>
      <w:r w:rsidRPr="00DC2CE0">
        <w:t xml:space="preserve"> who </w:t>
      </w:r>
      <w:r w:rsidR="00B33028" w:rsidRPr="00DC2CE0">
        <w:t>had</w:t>
      </w:r>
      <w:r w:rsidRPr="00DC2CE0">
        <w:t xml:space="preserve"> identif</w:t>
      </w:r>
      <w:r w:rsidR="00B33028" w:rsidRPr="00DC2CE0">
        <w:t>ied</w:t>
      </w:r>
      <w:r w:rsidR="00D97F4A" w:rsidRPr="00DC2CE0">
        <w:t xml:space="preserve"> the </w:t>
      </w:r>
      <w:r w:rsidRPr="00DC2CE0">
        <w:t xml:space="preserve">alleged suspects.   </w:t>
      </w:r>
    </w:p>
    <w:p w:rsidR="002404D1" w:rsidRPr="00DC2CE0" w:rsidRDefault="002404D1" w:rsidP="002404D1">
      <w:pPr>
        <w:pStyle w:val="ListParagraph"/>
      </w:pPr>
    </w:p>
    <w:p w:rsidR="002404D1" w:rsidRPr="00DC2CE0" w:rsidRDefault="002404D1" w:rsidP="002404D1">
      <w:pPr>
        <w:numPr>
          <w:ilvl w:val="0"/>
          <w:numId w:val="2"/>
        </w:numPr>
        <w:jc w:val="both"/>
      </w:pPr>
      <w:r w:rsidRPr="00DC2CE0">
        <w:t xml:space="preserve">The case file contains a </w:t>
      </w:r>
      <w:r w:rsidR="00F25A1E" w:rsidRPr="00DC2CE0">
        <w:t>second w</w:t>
      </w:r>
      <w:r w:rsidRPr="00DC2CE0">
        <w:t xml:space="preserve">itness </w:t>
      </w:r>
      <w:r w:rsidR="0017066D" w:rsidRPr="00DC2CE0">
        <w:t>statement</w:t>
      </w:r>
      <w:r w:rsidRPr="00DC2CE0">
        <w:t xml:space="preserve"> </w:t>
      </w:r>
      <w:r w:rsidR="007071B8" w:rsidRPr="00DC2CE0">
        <w:t xml:space="preserve">from </w:t>
      </w:r>
      <w:r w:rsidR="006E7EB0" w:rsidRPr="00DC2CE0">
        <w:t xml:space="preserve">Ms </w:t>
      </w:r>
      <w:r w:rsidR="007071B8" w:rsidRPr="00DC2CE0">
        <w:t xml:space="preserve">V.B. </w:t>
      </w:r>
      <w:r w:rsidR="00F25A1E" w:rsidRPr="00DC2CE0">
        <w:t xml:space="preserve">dated 1 October 1999. </w:t>
      </w:r>
      <w:r w:rsidRPr="00DC2CE0">
        <w:t>It</w:t>
      </w:r>
      <w:r w:rsidR="00B33028" w:rsidRPr="00DC2CE0">
        <w:t xml:space="preserve"> again</w:t>
      </w:r>
      <w:r w:rsidRPr="00DC2CE0">
        <w:t xml:space="preserve"> describes the events and the location </w:t>
      </w:r>
      <w:r w:rsidR="00994383" w:rsidRPr="00DC2CE0">
        <w:t xml:space="preserve">from </w:t>
      </w:r>
      <w:r w:rsidRPr="00DC2CE0">
        <w:t xml:space="preserve">where </w:t>
      </w:r>
      <w:r w:rsidR="00B33028" w:rsidRPr="00DC2CE0">
        <w:t xml:space="preserve">Mr </w:t>
      </w:r>
      <w:proofErr w:type="spellStart"/>
      <w:r w:rsidR="00BF2552" w:rsidRPr="00DC2CE0">
        <w:t>Pavić</w:t>
      </w:r>
      <w:proofErr w:type="spellEnd"/>
      <w:r w:rsidR="00BF2552" w:rsidRPr="00DC2CE0">
        <w:t>, Mr</w:t>
      </w:r>
      <w:r w:rsidR="00B33028" w:rsidRPr="00DC2CE0">
        <w:t xml:space="preserve"> G.M. and </w:t>
      </w:r>
      <w:r w:rsidR="00BF2552" w:rsidRPr="00DC2CE0">
        <w:t xml:space="preserve">Mr </w:t>
      </w:r>
      <w:r w:rsidR="00B33028" w:rsidRPr="00DC2CE0">
        <w:t>P.M.</w:t>
      </w:r>
      <w:r w:rsidR="006F1F84" w:rsidRPr="00DC2CE0">
        <w:t xml:space="preserve"> </w:t>
      </w:r>
      <w:r w:rsidRPr="00DC2CE0">
        <w:t>were taken.</w:t>
      </w:r>
      <w:r w:rsidR="006F1F84" w:rsidRPr="00DC2CE0">
        <w:t xml:space="preserve"> </w:t>
      </w:r>
    </w:p>
    <w:p w:rsidR="002404D1" w:rsidRPr="00DC2CE0" w:rsidRDefault="002404D1" w:rsidP="002404D1">
      <w:pPr>
        <w:pStyle w:val="ListParagraph"/>
      </w:pPr>
    </w:p>
    <w:p w:rsidR="00947992" w:rsidRPr="00DC2CE0" w:rsidRDefault="00613235" w:rsidP="00132C23">
      <w:pPr>
        <w:pStyle w:val="ListParagraph"/>
        <w:numPr>
          <w:ilvl w:val="0"/>
          <w:numId w:val="2"/>
        </w:numPr>
        <w:jc w:val="both"/>
      </w:pPr>
      <w:r w:rsidRPr="00DC2CE0">
        <w:t>T</w:t>
      </w:r>
      <w:r w:rsidR="000E6508" w:rsidRPr="00DC2CE0">
        <w:t xml:space="preserve">he case file </w:t>
      </w:r>
      <w:r w:rsidRPr="00DC2CE0">
        <w:t>records that on 29 January 2000</w:t>
      </w:r>
      <w:r w:rsidR="00994383" w:rsidRPr="00DC2CE0">
        <w:t>,</w:t>
      </w:r>
      <w:r w:rsidRPr="00DC2CE0">
        <w:t xml:space="preserve"> </w:t>
      </w:r>
      <w:r w:rsidR="006E7EB0" w:rsidRPr="00DC2CE0">
        <w:t xml:space="preserve">Ms </w:t>
      </w:r>
      <w:r w:rsidR="000E6508" w:rsidRPr="00DC2CE0">
        <w:t>V.B</w:t>
      </w:r>
      <w:r w:rsidRPr="00DC2CE0">
        <w:t>.</w:t>
      </w:r>
      <w:r w:rsidR="000E6508" w:rsidRPr="00DC2CE0">
        <w:t xml:space="preserve"> met with UNMIK Police. The note describes that the purpose of the visit was “to provide details of subsequent action taken by </w:t>
      </w:r>
      <w:r w:rsidR="00CD0C7B" w:rsidRPr="00DC2CE0">
        <w:t>[</w:t>
      </w:r>
      <w:r w:rsidR="006E7EB0" w:rsidRPr="00DC2CE0">
        <w:t xml:space="preserve">Ms </w:t>
      </w:r>
      <w:r w:rsidR="00CD0C7B" w:rsidRPr="00DC2CE0">
        <w:t>V.B.] in an effort to arrange an exchange of prisoners between the FRY government and former UCK members”. The note recount</w:t>
      </w:r>
      <w:r w:rsidR="00D97F4A" w:rsidRPr="00DC2CE0">
        <w:t>s</w:t>
      </w:r>
      <w:r w:rsidR="00CD0C7B" w:rsidRPr="00DC2CE0">
        <w:t xml:space="preserve"> that on 24 </w:t>
      </w:r>
      <w:r w:rsidR="00BF2552" w:rsidRPr="00DC2CE0">
        <w:t>November 1999</w:t>
      </w:r>
      <w:r w:rsidR="00994383" w:rsidRPr="00DC2CE0">
        <w:t>,</w:t>
      </w:r>
      <w:r w:rsidR="00BF2552" w:rsidRPr="00DC2CE0">
        <w:t xml:space="preserve"> two Albanian men</w:t>
      </w:r>
      <w:r w:rsidR="00CD0C7B" w:rsidRPr="00DC2CE0">
        <w:t xml:space="preserve"> </w:t>
      </w:r>
      <w:r w:rsidR="00994383" w:rsidRPr="00DC2CE0">
        <w:t>had spoken to V.B and an UNMIK P</w:t>
      </w:r>
      <w:r w:rsidR="00CD0C7B" w:rsidRPr="00DC2CE0">
        <w:t>olice officer about a possible prisoner exchange. Specifically</w:t>
      </w:r>
      <w:r w:rsidR="0017066D" w:rsidRPr="00DC2CE0">
        <w:t>,</w:t>
      </w:r>
      <w:r w:rsidR="00CD0C7B" w:rsidRPr="00DC2CE0">
        <w:t xml:space="preserve"> that </w:t>
      </w:r>
      <w:r w:rsidR="0017066D" w:rsidRPr="00DC2CE0">
        <w:t>effort should be made to identify and secure the release of a s</w:t>
      </w:r>
      <w:r w:rsidR="00CD0C7B" w:rsidRPr="00DC2CE0">
        <w:t xml:space="preserve">pecified person being detained in Serbia. </w:t>
      </w:r>
    </w:p>
    <w:p w:rsidR="00947992" w:rsidRPr="00DC2CE0" w:rsidRDefault="00947992" w:rsidP="00947992">
      <w:pPr>
        <w:pStyle w:val="ListParagraph"/>
      </w:pPr>
    </w:p>
    <w:p w:rsidR="000E6508" w:rsidRPr="00DC2CE0" w:rsidRDefault="00994383" w:rsidP="00947992">
      <w:pPr>
        <w:pStyle w:val="ListParagraph"/>
        <w:ind w:left="360"/>
        <w:jc w:val="both"/>
      </w:pPr>
      <w:r w:rsidRPr="00DC2CE0">
        <w:t xml:space="preserve">The note describes a second meeting with one of the Albanian men on 25 December 1999, </w:t>
      </w:r>
      <w:r w:rsidR="00CD0C7B" w:rsidRPr="00DC2CE0">
        <w:t>in which he expressed his satisfaction with the efforts being made and that he would “try to find out what had happened to the missing persons”.</w:t>
      </w:r>
    </w:p>
    <w:p w:rsidR="00CD0C7B" w:rsidRPr="00DC2CE0" w:rsidRDefault="00CD0C7B" w:rsidP="00CD0C7B">
      <w:pPr>
        <w:pStyle w:val="ListParagraph"/>
      </w:pPr>
    </w:p>
    <w:p w:rsidR="00CD0C7B" w:rsidRPr="00DC2CE0" w:rsidRDefault="00CD0C7B" w:rsidP="008074AC">
      <w:pPr>
        <w:pStyle w:val="ListParagraph"/>
        <w:ind w:left="360"/>
        <w:jc w:val="both"/>
      </w:pPr>
      <w:r w:rsidRPr="00DC2CE0">
        <w:t>The n</w:t>
      </w:r>
      <w:r w:rsidR="00947992" w:rsidRPr="00DC2CE0">
        <w:t xml:space="preserve">ote then </w:t>
      </w:r>
      <w:r w:rsidR="00D97F4A" w:rsidRPr="00DC2CE0">
        <w:t>details</w:t>
      </w:r>
      <w:r w:rsidR="00947992" w:rsidRPr="00DC2CE0">
        <w:t xml:space="preserve"> a third meeting two days later</w:t>
      </w:r>
      <w:r w:rsidR="00BF2552" w:rsidRPr="00DC2CE0">
        <w:t xml:space="preserve"> in which the same Albanian man</w:t>
      </w:r>
      <w:r w:rsidR="00947992" w:rsidRPr="00DC2CE0">
        <w:t xml:space="preserve"> indicates that he is unable to assist in the location of the missing persons. The note</w:t>
      </w:r>
      <w:r w:rsidR="00BF2552" w:rsidRPr="00DC2CE0">
        <w:t xml:space="preserve"> describes how the Albanian man</w:t>
      </w:r>
      <w:r w:rsidR="00947992" w:rsidRPr="00DC2CE0">
        <w:t xml:space="preserve"> “appeared nervous and confused”. It also references that “just prior, the KFOR personnel from </w:t>
      </w:r>
      <w:proofErr w:type="spellStart"/>
      <w:r w:rsidR="00947992" w:rsidRPr="00DC2CE0">
        <w:t>Gnji</w:t>
      </w:r>
      <w:r w:rsidR="00BF2552" w:rsidRPr="00DC2CE0">
        <w:t>lane</w:t>
      </w:r>
      <w:proofErr w:type="spellEnd"/>
      <w:r w:rsidR="00BF2552" w:rsidRPr="00DC2CE0">
        <w:t xml:space="preserve"> met with [the Albanian man</w:t>
      </w:r>
      <w:r w:rsidR="00947992" w:rsidRPr="00DC2CE0">
        <w:t>] – relevance unknown”.</w:t>
      </w:r>
    </w:p>
    <w:p w:rsidR="000E6508" w:rsidRPr="00DC2CE0" w:rsidRDefault="000E6508" w:rsidP="000E6508">
      <w:pPr>
        <w:pStyle w:val="ListParagraph"/>
      </w:pPr>
    </w:p>
    <w:p w:rsidR="007E37E1" w:rsidRPr="00DC2CE0" w:rsidRDefault="007E37E1" w:rsidP="00132C23">
      <w:pPr>
        <w:pStyle w:val="ListParagraph"/>
        <w:numPr>
          <w:ilvl w:val="0"/>
          <w:numId w:val="2"/>
        </w:numPr>
        <w:jc w:val="both"/>
      </w:pPr>
      <w:r w:rsidRPr="00DC2CE0">
        <w:t>A note in the file</w:t>
      </w:r>
      <w:r w:rsidR="00994383" w:rsidRPr="00DC2CE0">
        <w:t>,</w:t>
      </w:r>
      <w:r w:rsidRPr="00DC2CE0">
        <w:t xml:space="preserve"> dated 30 March 2001</w:t>
      </w:r>
      <w:r w:rsidR="00994383" w:rsidRPr="00DC2CE0">
        <w:t>,</w:t>
      </w:r>
      <w:r w:rsidRPr="00DC2CE0">
        <w:t xml:space="preserve"> </w:t>
      </w:r>
      <w:r w:rsidR="00D25ADE" w:rsidRPr="00DC2CE0">
        <w:t xml:space="preserve">contains a brief report from the “Resource </w:t>
      </w:r>
      <w:proofErr w:type="spellStart"/>
      <w:r w:rsidR="00D25ADE" w:rsidRPr="00DC2CE0">
        <w:t>Center</w:t>
      </w:r>
      <w:proofErr w:type="spellEnd"/>
      <w:r w:rsidR="00D25ADE" w:rsidRPr="00DC2CE0">
        <w:t xml:space="preserve"> </w:t>
      </w:r>
      <w:proofErr w:type="gramStart"/>
      <w:r w:rsidR="00D25ADE" w:rsidRPr="00DC2CE0">
        <w:t>For</w:t>
      </w:r>
      <w:proofErr w:type="gramEnd"/>
      <w:r w:rsidR="00D25ADE" w:rsidRPr="00DC2CE0">
        <w:t xml:space="preserve"> Missing Persons and Detainees” in </w:t>
      </w:r>
      <w:proofErr w:type="spellStart"/>
      <w:r w:rsidR="00D25ADE" w:rsidRPr="00DC2CE0">
        <w:t>Prishtinë</w:t>
      </w:r>
      <w:proofErr w:type="spellEnd"/>
      <w:r w:rsidR="00D25ADE" w:rsidRPr="00DC2CE0">
        <w:t>/</w:t>
      </w:r>
      <w:proofErr w:type="spellStart"/>
      <w:r w:rsidR="00D25ADE" w:rsidRPr="00DC2CE0">
        <w:t>Priština</w:t>
      </w:r>
      <w:proofErr w:type="spellEnd"/>
      <w:r w:rsidR="00D25ADE" w:rsidRPr="00DC2CE0">
        <w:t xml:space="preserve">. In the report it recounts that a relative of kidnapped victim </w:t>
      </w:r>
      <w:proofErr w:type="spellStart"/>
      <w:r w:rsidR="00613235" w:rsidRPr="00DC2CE0">
        <w:t>Mr.</w:t>
      </w:r>
      <w:proofErr w:type="spellEnd"/>
      <w:r w:rsidR="00613235" w:rsidRPr="00DC2CE0">
        <w:t xml:space="preserve"> </w:t>
      </w:r>
      <w:r w:rsidR="00D25ADE" w:rsidRPr="00DC2CE0">
        <w:t>G.M.</w:t>
      </w:r>
      <w:r w:rsidR="00994383" w:rsidRPr="00DC2CE0">
        <w:t>,</w:t>
      </w:r>
      <w:r w:rsidR="00D25ADE" w:rsidRPr="00DC2CE0">
        <w:t xml:space="preserve"> who had been abducted at the same time as</w:t>
      </w:r>
      <w:r w:rsidR="00994383" w:rsidRPr="00DC2CE0">
        <w:t xml:space="preserve"> the victim, was demanding that “</w:t>
      </w:r>
      <w:r w:rsidR="00D25ADE" w:rsidRPr="00DC2CE0">
        <w:t xml:space="preserve">UNMIK police should do something regarding this case. He told MPU that he knows who the kidnappers were... He said that one of the kidnappers have been working as KPS officer in Pristina”. </w:t>
      </w:r>
    </w:p>
    <w:p w:rsidR="00132C23" w:rsidRPr="00DC2CE0" w:rsidRDefault="00132C23" w:rsidP="00132C23">
      <w:pPr>
        <w:pStyle w:val="ListParagraph"/>
      </w:pPr>
    </w:p>
    <w:p w:rsidR="007E37E1" w:rsidRPr="00DC2CE0" w:rsidRDefault="007E37E1" w:rsidP="007E37E1">
      <w:pPr>
        <w:pStyle w:val="ListParagraph"/>
        <w:numPr>
          <w:ilvl w:val="0"/>
          <w:numId w:val="2"/>
        </w:numPr>
        <w:jc w:val="both"/>
      </w:pPr>
      <w:r w:rsidRPr="00DC2CE0">
        <w:t>A case Continuation Report</w:t>
      </w:r>
      <w:r w:rsidR="00994383" w:rsidRPr="00DC2CE0">
        <w:t>,</w:t>
      </w:r>
      <w:r w:rsidRPr="00DC2CE0">
        <w:t xml:space="preserve"> dated 13 April 2001</w:t>
      </w:r>
      <w:r w:rsidR="00994383" w:rsidRPr="00DC2CE0">
        <w:t>,</w:t>
      </w:r>
      <w:r w:rsidRPr="00DC2CE0">
        <w:t xml:space="preserve"> recounts that an MPU officer went to visit the brother of Mr </w:t>
      </w:r>
      <w:proofErr w:type="spellStart"/>
      <w:r w:rsidRPr="00DC2CE0">
        <w:t>Pavić</w:t>
      </w:r>
      <w:proofErr w:type="spellEnd"/>
      <w:r w:rsidRPr="00DC2CE0">
        <w:t>. On arrival</w:t>
      </w:r>
      <w:r w:rsidR="00994383" w:rsidRPr="00DC2CE0">
        <w:t>,</w:t>
      </w:r>
      <w:r w:rsidRPr="00DC2CE0">
        <w:t xml:space="preserve"> the officer describes that the victim</w:t>
      </w:r>
      <w:r w:rsidR="00994383" w:rsidRPr="00DC2CE0">
        <w:t>’</w:t>
      </w:r>
      <w:r w:rsidRPr="00DC2CE0">
        <w:t xml:space="preserve">s brother was not there but that Mr </w:t>
      </w:r>
      <w:proofErr w:type="spellStart"/>
      <w:r w:rsidRPr="00DC2CE0">
        <w:t>Pavić’s</w:t>
      </w:r>
      <w:proofErr w:type="spellEnd"/>
      <w:r w:rsidRPr="00DC2CE0">
        <w:t xml:space="preserve"> father was present. Consequently, </w:t>
      </w:r>
      <w:r w:rsidR="00613235" w:rsidRPr="00DC2CE0">
        <w:t xml:space="preserve">the report states that </w:t>
      </w:r>
      <w:r w:rsidRPr="00DC2CE0">
        <w:t>a statement was taken</w:t>
      </w:r>
      <w:r w:rsidR="00613235" w:rsidRPr="00DC2CE0">
        <w:t xml:space="preserve"> from him regarding the events and that new information was given regarding </w:t>
      </w:r>
      <w:r w:rsidRPr="00DC2CE0">
        <w:t xml:space="preserve">possible suspects to the abduction. </w:t>
      </w:r>
    </w:p>
    <w:p w:rsidR="007E37E1" w:rsidRPr="00DC2CE0" w:rsidRDefault="007E37E1" w:rsidP="007E37E1">
      <w:pPr>
        <w:jc w:val="both"/>
      </w:pPr>
    </w:p>
    <w:p w:rsidR="007E37E1" w:rsidRPr="00DC2CE0" w:rsidRDefault="00132C23" w:rsidP="00132C23">
      <w:pPr>
        <w:pStyle w:val="ListParagraph"/>
        <w:numPr>
          <w:ilvl w:val="0"/>
          <w:numId w:val="2"/>
        </w:numPr>
        <w:jc w:val="both"/>
      </w:pPr>
      <w:r w:rsidRPr="00DC2CE0">
        <w:t xml:space="preserve">On 20 April 2001, a statement was taken by UNMIK MPU </w:t>
      </w:r>
      <w:r w:rsidR="00994383" w:rsidRPr="00DC2CE0">
        <w:t>from</w:t>
      </w:r>
      <w:r w:rsidRPr="00DC2CE0">
        <w:t xml:space="preserve"> a K</w:t>
      </w:r>
      <w:r w:rsidR="00994383" w:rsidRPr="00DC2CE0">
        <w:t xml:space="preserve">osovo </w:t>
      </w:r>
      <w:r w:rsidRPr="00DC2CE0">
        <w:t>P</w:t>
      </w:r>
      <w:r w:rsidR="00994383" w:rsidRPr="00DC2CE0">
        <w:t>olice O</w:t>
      </w:r>
      <w:r w:rsidRPr="00DC2CE0">
        <w:t xml:space="preserve">fficer. </w:t>
      </w:r>
      <w:r w:rsidR="00994383" w:rsidRPr="00DC2CE0">
        <w:t>T</w:t>
      </w:r>
      <w:r w:rsidRPr="00DC2CE0">
        <w:t xml:space="preserve">he statement recounts the events and details where Mr </w:t>
      </w:r>
      <w:proofErr w:type="spellStart"/>
      <w:r w:rsidRPr="00DC2CE0">
        <w:t>Pavić</w:t>
      </w:r>
      <w:proofErr w:type="spellEnd"/>
      <w:r w:rsidRPr="00DC2CE0">
        <w:t xml:space="preserve"> was taken by the KLA after his abduction. In particular, it identifies six suspects who were believed to have been responsible for the abduction. </w:t>
      </w:r>
    </w:p>
    <w:p w:rsidR="002404D1" w:rsidRPr="00DC2CE0" w:rsidRDefault="002404D1" w:rsidP="002404D1">
      <w:pPr>
        <w:pStyle w:val="ListParagraph"/>
      </w:pPr>
    </w:p>
    <w:p w:rsidR="002404D1" w:rsidRPr="00DC2CE0" w:rsidRDefault="002404D1" w:rsidP="00132C23">
      <w:pPr>
        <w:pStyle w:val="ListParagraph"/>
        <w:numPr>
          <w:ilvl w:val="0"/>
          <w:numId w:val="2"/>
        </w:numPr>
        <w:jc w:val="both"/>
      </w:pPr>
      <w:r w:rsidRPr="00DC2CE0">
        <w:t>The case file contains a note</w:t>
      </w:r>
      <w:r w:rsidR="00994383" w:rsidRPr="00DC2CE0">
        <w:t>,</w:t>
      </w:r>
      <w:r w:rsidRPr="00DC2CE0">
        <w:t xml:space="preserve"> dated 30 July 2004</w:t>
      </w:r>
      <w:r w:rsidR="00994383" w:rsidRPr="00DC2CE0">
        <w:t>, from an UNMIK P</w:t>
      </w:r>
      <w:r w:rsidRPr="00DC2CE0">
        <w:t>olice officer highlighting that he “would like to see more detail in the investigation field”. He then goes on to list a series of questions</w:t>
      </w:r>
      <w:r w:rsidRPr="00DC2CE0">
        <w:rPr>
          <w:b/>
        </w:rPr>
        <w:t xml:space="preserve"> </w:t>
      </w:r>
      <w:r w:rsidR="001038C1" w:rsidRPr="00DC2CE0">
        <w:t>required in order to continue the investigation</w:t>
      </w:r>
      <w:r w:rsidRPr="00DC2CE0">
        <w:t>.</w:t>
      </w:r>
    </w:p>
    <w:p w:rsidR="008074AC" w:rsidRPr="00DC2CE0" w:rsidRDefault="008074AC" w:rsidP="008074AC">
      <w:pPr>
        <w:pStyle w:val="ListParagraph"/>
      </w:pPr>
    </w:p>
    <w:p w:rsidR="008074AC" w:rsidRPr="00DC2CE0" w:rsidRDefault="00613235" w:rsidP="00132C23">
      <w:pPr>
        <w:pStyle w:val="ListParagraph"/>
        <w:numPr>
          <w:ilvl w:val="0"/>
          <w:numId w:val="2"/>
        </w:numPr>
        <w:jc w:val="both"/>
      </w:pPr>
      <w:r w:rsidRPr="00DC2CE0">
        <w:t xml:space="preserve">Finally, the </w:t>
      </w:r>
      <w:r w:rsidR="008074AC" w:rsidRPr="00DC2CE0">
        <w:t>investigative file contains a report</w:t>
      </w:r>
      <w:r w:rsidR="00994383" w:rsidRPr="00DC2CE0">
        <w:t>,</w:t>
      </w:r>
      <w:r w:rsidR="008074AC" w:rsidRPr="00DC2CE0">
        <w:t xml:space="preserve"> dated 3 August 2004</w:t>
      </w:r>
      <w:r w:rsidR="00994383" w:rsidRPr="00DC2CE0">
        <w:t>,</w:t>
      </w:r>
      <w:r w:rsidR="008074AC" w:rsidRPr="00DC2CE0">
        <w:t xml:space="preserve"> which </w:t>
      </w:r>
      <w:r w:rsidR="00994383" w:rsidRPr="00DC2CE0">
        <w:t>states that UNMIK P</w:t>
      </w:r>
      <w:r w:rsidR="008074AC" w:rsidRPr="00DC2CE0">
        <w:t xml:space="preserve">olice contacted the wife of </w:t>
      </w:r>
      <w:proofErr w:type="spellStart"/>
      <w:r w:rsidRPr="00DC2CE0">
        <w:t>Mr.</w:t>
      </w:r>
      <w:proofErr w:type="spellEnd"/>
      <w:r w:rsidRPr="00DC2CE0">
        <w:t xml:space="preserve"> </w:t>
      </w:r>
      <w:r w:rsidR="008074AC" w:rsidRPr="00DC2CE0">
        <w:t xml:space="preserve">G.M. She recounts the version of events and how </w:t>
      </w:r>
      <w:r w:rsidR="00AB0FE5" w:rsidRPr="00DC2CE0">
        <w:t>these men</w:t>
      </w:r>
      <w:r w:rsidR="008074AC" w:rsidRPr="00DC2CE0">
        <w:t xml:space="preserve"> were taken by “Albanians”.</w:t>
      </w:r>
    </w:p>
    <w:p w:rsidR="008074AC" w:rsidRPr="00DC2CE0" w:rsidRDefault="008074AC" w:rsidP="008074AC">
      <w:pPr>
        <w:pStyle w:val="ListParagraph"/>
      </w:pPr>
    </w:p>
    <w:p w:rsidR="00DC01A1" w:rsidRPr="00DC2CE0" w:rsidRDefault="00DC01A1" w:rsidP="006B4861">
      <w:pPr>
        <w:jc w:val="both"/>
      </w:pPr>
    </w:p>
    <w:p w:rsidR="00783472" w:rsidRPr="00DC2CE0" w:rsidRDefault="00783472" w:rsidP="00783472">
      <w:pPr>
        <w:tabs>
          <w:tab w:val="left" w:pos="357"/>
        </w:tabs>
        <w:autoSpaceDE w:val="0"/>
        <w:jc w:val="both"/>
        <w:rPr>
          <w:b/>
          <w:bCs/>
        </w:rPr>
      </w:pPr>
      <w:r w:rsidRPr="00DC2CE0">
        <w:rPr>
          <w:b/>
          <w:bCs/>
        </w:rPr>
        <w:t>III. THE COMPLAINT</w:t>
      </w:r>
      <w:r w:rsidR="00802830" w:rsidRPr="00DC2CE0">
        <w:rPr>
          <w:b/>
          <w:bCs/>
        </w:rPr>
        <w:t>S</w:t>
      </w:r>
    </w:p>
    <w:p w:rsidR="00783472" w:rsidRPr="00DC2CE0" w:rsidRDefault="00783472" w:rsidP="00783472">
      <w:pPr>
        <w:pStyle w:val="ListParagraph"/>
      </w:pPr>
    </w:p>
    <w:p w:rsidR="002E4946" w:rsidRPr="00DC2CE0" w:rsidRDefault="00AB5D30" w:rsidP="001707FB">
      <w:pPr>
        <w:pStyle w:val="ListParagraph"/>
        <w:numPr>
          <w:ilvl w:val="0"/>
          <w:numId w:val="2"/>
        </w:numPr>
        <w:jc w:val="both"/>
      </w:pPr>
      <w:r w:rsidRPr="00DC2CE0">
        <w:t>The complainant</w:t>
      </w:r>
      <w:r w:rsidR="00783472" w:rsidRPr="00DC2CE0">
        <w:t xml:space="preserve"> complain</w:t>
      </w:r>
      <w:r w:rsidR="001D7501" w:rsidRPr="00DC2CE0">
        <w:t>s</w:t>
      </w:r>
      <w:r w:rsidRPr="00DC2CE0">
        <w:t xml:space="preserve"> about UNMIK’s alleged failure to properly investigate the </w:t>
      </w:r>
      <w:r w:rsidR="00783472" w:rsidRPr="00DC2CE0">
        <w:t xml:space="preserve">abduction of </w:t>
      </w:r>
      <w:r w:rsidR="001D7501" w:rsidRPr="00DC2CE0">
        <w:t xml:space="preserve">Mr </w:t>
      </w:r>
      <w:proofErr w:type="spellStart"/>
      <w:r w:rsidR="001D7501" w:rsidRPr="00DC2CE0">
        <w:t>Pavić</w:t>
      </w:r>
      <w:proofErr w:type="spellEnd"/>
      <w:r w:rsidRPr="00DC2CE0">
        <w:t xml:space="preserve">. </w:t>
      </w:r>
      <w:r w:rsidR="002E4946" w:rsidRPr="00DC2CE0">
        <w:t xml:space="preserve">In this regard the Panel deems that </w:t>
      </w:r>
      <w:r w:rsidR="001D7501" w:rsidRPr="00DC2CE0">
        <w:t>she</w:t>
      </w:r>
      <w:r w:rsidR="002E4946" w:rsidRPr="00DC2CE0">
        <w:t xml:space="preserve"> invoke</w:t>
      </w:r>
      <w:r w:rsidR="001D7501" w:rsidRPr="00DC2CE0">
        <w:t>s</w:t>
      </w:r>
      <w:r w:rsidR="002E4946" w:rsidRPr="00DC2CE0">
        <w:t xml:space="preserve"> a violation of the procedural limb of Article 2 of the ECHR. </w:t>
      </w:r>
    </w:p>
    <w:p w:rsidR="002E4946" w:rsidRPr="00DC2CE0" w:rsidRDefault="002E4946" w:rsidP="002E4946">
      <w:pPr>
        <w:pStyle w:val="ListParagraph"/>
        <w:ind w:left="360"/>
        <w:jc w:val="both"/>
      </w:pPr>
    </w:p>
    <w:p w:rsidR="00B47433" w:rsidRPr="00DC2CE0" w:rsidRDefault="001D7501" w:rsidP="001707FB">
      <w:pPr>
        <w:pStyle w:val="ListParagraph"/>
        <w:numPr>
          <w:ilvl w:val="0"/>
          <w:numId w:val="2"/>
        </w:numPr>
        <w:jc w:val="both"/>
      </w:pPr>
      <w:r w:rsidRPr="00DC2CE0">
        <w:t>She</w:t>
      </w:r>
      <w:r w:rsidR="00783472" w:rsidRPr="00DC2CE0">
        <w:t xml:space="preserve"> also complain</w:t>
      </w:r>
      <w:r w:rsidRPr="00DC2CE0">
        <w:t>s</w:t>
      </w:r>
      <w:r w:rsidR="002E4946" w:rsidRPr="00DC2CE0">
        <w:t xml:space="preserve"> about the mental pain and suffering allegedly caused to</w:t>
      </w:r>
      <w:r w:rsidR="00783472" w:rsidRPr="00DC2CE0">
        <w:t xml:space="preserve"> </w:t>
      </w:r>
      <w:r w:rsidRPr="00DC2CE0">
        <w:t>her</w:t>
      </w:r>
      <w:r w:rsidR="00783472" w:rsidRPr="00DC2CE0">
        <w:t xml:space="preserve"> and </w:t>
      </w:r>
      <w:r w:rsidRPr="00DC2CE0">
        <w:t>her</w:t>
      </w:r>
      <w:r w:rsidR="00783472" w:rsidRPr="00DC2CE0">
        <w:t xml:space="preserve"> famil</w:t>
      </w:r>
      <w:r w:rsidRPr="00DC2CE0">
        <w:t>y</w:t>
      </w:r>
      <w:r w:rsidR="002E4946" w:rsidRPr="00DC2CE0">
        <w:t xml:space="preserve"> by this situation</w:t>
      </w:r>
      <w:r w:rsidR="00783472" w:rsidRPr="00DC2CE0">
        <w:t>.</w:t>
      </w:r>
      <w:r w:rsidR="002E4946" w:rsidRPr="00DC2CE0">
        <w:t xml:space="preserve"> In this regard the Panel deems that the complainant</w:t>
      </w:r>
      <w:r w:rsidRPr="00DC2CE0">
        <w:t xml:space="preserve"> relies</w:t>
      </w:r>
      <w:r w:rsidR="002E4946" w:rsidRPr="00DC2CE0">
        <w:t xml:space="preserve"> on Article 3 of the </w:t>
      </w:r>
      <w:r w:rsidR="00AB5D30" w:rsidRPr="00DC2CE0">
        <w:t>ECHR.</w:t>
      </w:r>
    </w:p>
    <w:p w:rsidR="00B47433" w:rsidRDefault="00B47433" w:rsidP="00B47433">
      <w:pPr>
        <w:pStyle w:val="ListParagraph"/>
        <w:rPr>
          <w:b/>
        </w:rPr>
      </w:pPr>
    </w:p>
    <w:p w:rsidR="00537CAC" w:rsidRPr="00DC2CE0" w:rsidRDefault="00537CAC" w:rsidP="00B47433">
      <w:pPr>
        <w:pStyle w:val="ListParagraph"/>
        <w:rPr>
          <w:b/>
        </w:rPr>
      </w:pPr>
    </w:p>
    <w:p w:rsidR="00B47433" w:rsidRPr="00DC2CE0" w:rsidRDefault="00B47433" w:rsidP="00CD30D0">
      <w:pPr>
        <w:pStyle w:val="ListParagraph"/>
        <w:ind w:left="0"/>
        <w:jc w:val="both"/>
        <w:rPr>
          <w:b/>
        </w:rPr>
      </w:pPr>
      <w:r w:rsidRPr="00DC2CE0">
        <w:rPr>
          <w:b/>
        </w:rPr>
        <w:t>IV. THE LAW</w:t>
      </w:r>
    </w:p>
    <w:p w:rsidR="00B47433" w:rsidRPr="00DC2CE0" w:rsidRDefault="00B47433" w:rsidP="00CD30D0">
      <w:pPr>
        <w:pStyle w:val="ListParagraph"/>
        <w:ind w:left="0"/>
        <w:jc w:val="both"/>
        <w:rPr>
          <w:b/>
        </w:rPr>
      </w:pPr>
    </w:p>
    <w:p w:rsidR="00B47433" w:rsidRPr="00DC2CE0" w:rsidRDefault="00B47433" w:rsidP="001707FB">
      <w:pPr>
        <w:pStyle w:val="ListParagraph"/>
        <w:numPr>
          <w:ilvl w:val="0"/>
          <w:numId w:val="5"/>
        </w:numPr>
        <w:jc w:val="both"/>
        <w:rPr>
          <w:b/>
        </w:rPr>
      </w:pPr>
      <w:r w:rsidRPr="00DC2CE0">
        <w:rPr>
          <w:b/>
        </w:rPr>
        <w:t>Alleged violation of the procedural obligation under Article 2 of the ECHR</w:t>
      </w:r>
    </w:p>
    <w:p w:rsidR="00B47433" w:rsidRPr="00DC2CE0" w:rsidRDefault="00B47433" w:rsidP="007B4270">
      <w:pPr>
        <w:jc w:val="both"/>
      </w:pPr>
    </w:p>
    <w:p w:rsidR="00B47433" w:rsidRPr="00DC2CE0" w:rsidRDefault="00B47433" w:rsidP="001707FB">
      <w:pPr>
        <w:pStyle w:val="ListParagraph"/>
        <w:numPr>
          <w:ilvl w:val="0"/>
          <w:numId w:val="2"/>
        </w:numPr>
        <w:jc w:val="both"/>
      </w:pPr>
      <w:r w:rsidRPr="00DC2CE0">
        <w:t>The Panel considers that the complainant invoke</w:t>
      </w:r>
      <w:r w:rsidR="001D7501" w:rsidRPr="00DC2CE0">
        <w:t>s</w:t>
      </w:r>
      <w:r w:rsidRPr="00DC2CE0">
        <w:t xml:space="preserve"> a violation of the procedural obligation stemming from the right to life, guaranteed by Article 2 of the ECHR in that UNMIK Police did not conduct </w:t>
      </w:r>
      <w:proofErr w:type="gramStart"/>
      <w:r w:rsidRPr="00DC2CE0">
        <w:t>an effective</w:t>
      </w:r>
      <w:proofErr w:type="gramEnd"/>
      <w:r w:rsidRPr="00DC2CE0">
        <w:t xml:space="preserve"> investigation </w:t>
      </w:r>
      <w:r w:rsidR="001D7501" w:rsidRPr="00DC2CE0">
        <w:t xml:space="preserve">Mr </w:t>
      </w:r>
      <w:proofErr w:type="spellStart"/>
      <w:r w:rsidR="001D7501" w:rsidRPr="00DC2CE0">
        <w:t>Pavić</w:t>
      </w:r>
      <w:r w:rsidRPr="00DC2CE0">
        <w:t>s</w:t>
      </w:r>
      <w:proofErr w:type="spellEnd"/>
      <w:r w:rsidRPr="00DC2CE0">
        <w:t>’ abduction.</w:t>
      </w:r>
      <w:bookmarkStart w:id="1" w:name="_Ref350947678"/>
    </w:p>
    <w:p w:rsidR="00AB0FE5" w:rsidRPr="00DC2CE0" w:rsidRDefault="00AB0FE5" w:rsidP="00B47433">
      <w:pPr>
        <w:jc w:val="both"/>
      </w:pPr>
    </w:p>
    <w:p w:rsidR="00B47433" w:rsidRPr="00DC2CE0" w:rsidRDefault="00B47433" w:rsidP="001707FB">
      <w:pPr>
        <w:pStyle w:val="MediumGrid1-Accent21"/>
        <w:numPr>
          <w:ilvl w:val="0"/>
          <w:numId w:val="4"/>
        </w:numPr>
        <w:suppressAutoHyphens w:val="0"/>
        <w:contextualSpacing/>
        <w:rPr>
          <w:b/>
          <w:bCs/>
          <w:lang w:val="en-GB"/>
        </w:rPr>
      </w:pPr>
      <w:r w:rsidRPr="00DC2CE0">
        <w:rPr>
          <w:b/>
          <w:bCs/>
          <w:lang w:val="en-GB"/>
        </w:rPr>
        <w:t>The scope of the Panel’s review</w:t>
      </w:r>
    </w:p>
    <w:p w:rsidR="00B47433" w:rsidRPr="00DC2CE0" w:rsidRDefault="00B47433" w:rsidP="00B47433">
      <w:pPr>
        <w:pStyle w:val="ListParagraph"/>
      </w:pPr>
    </w:p>
    <w:p w:rsidR="00BF2552" w:rsidRPr="00DC2CE0" w:rsidRDefault="00BF2552" w:rsidP="00BF2552">
      <w:pPr>
        <w:pStyle w:val="ListParagraph"/>
        <w:numPr>
          <w:ilvl w:val="0"/>
          <w:numId w:val="2"/>
        </w:numPr>
        <w:jc w:val="both"/>
      </w:pPr>
      <w:r w:rsidRPr="00DC2CE0">
        <w:rPr>
          <w:bCs/>
        </w:rPr>
        <w:t>Before turning to the examination of the merits of the complaint, the Panel needs to clarify the scope of its review.</w:t>
      </w:r>
    </w:p>
    <w:p w:rsidR="00BF2552" w:rsidRPr="00DC2CE0" w:rsidRDefault="00BF2552" w:rsidP="00BF2552">
      <w:pPr>
        <w:pStyle w:val="ListParagraph"/>
        <w:ind w:left="360"/>
        <w:jc w:val="both"/>
      </w:pPr>
    </w:p>
    <w:p w:rsidR="00B47433" w:rsidRPr="00DC2CE0" w:rsidRDefault="00B47433" w:rsidP="001707FB">
      <w:pPr>
        <w:pStyle w:val="ListParagraph"/>
        <w:numPr>
          <w:ilvl w:val="0"/>
          <w:numId w:val="2"/>
        </w:numPr>
        <w:jc w:val="both"/>
      </w:pPr>
      <w:r w:rsidRPr="00DC2CE0">
        <w:t>In determining whether it considers that there has been a violation of Article 2 (procedur</w:t>
      </w:r>
      <w:r w:rsidR="00E930A4" w:rsidRPr="00DC2CE0">
        <w:t>al limb) of the ECHR, the Panel</w:t>
      </w:r>
      <w:r w:rsidRPr="00DC2CE0">
        <w:t xml:space="preserve">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
      <w:r w:rsidRPr="00DC2CE0">
        <w:t xml:space="preserve"> </w:t>
      </w:r>
    </w:p>
    <w:p w:rsidR="00B47433" w:rsidRPr="00DC2CE0" w:rsidRDefault="00B47433" w:rsidP="00BF2552">
      <w:pPr>
        <w:rPr>
          <w:lang w:eastAsia="nl-BE"/>
        </w:rPr>
      </w:pPr>
      <w:bookmarkStart w:id="2" w:name="_Ref347321462"/>
      <w:bookmarkStart w:id="3" w:name="_Ref317418022"/>
    </w:p>
    <w:p w:rsidR="00FE50D9" w:rsidRPr="00DC2CE0" w:rsidRDefault="00B47433" w:rsidP="001707FB">
      <w:pPr>
        <w:pStyle w:val="ListParagraph"/>
        <w:numPr>
          <w:ilvl w:val="0"/>
          <w:numId w:val="2"/>
        </w:numPr>
        <w:jc w:val="both"/>
      </w:pPr>
      <w:r w:rsidRPr="00DC2CE0">
        <w:rPr>
          <w:lang w:eastAsia="nl-BE"/>
        </w:rPr>
        <w:t xml:space="preserve">The </w:t>
      </w:r>
      <w:r w:rsidRPr="00DC2CE0">
        <w:rPr>
          <w:bCs/>
        </w:rPr>
        <w:t>Panel</w:t>
      </w:r>
      <w:r w:rsidRPr="00DC2CE0">
        <w:rPr>
          <w:lang w:eastAsia="nl-BE"/>
        </w:rPr>
        <w:t xml:space="preserve"> notes that with the adoption of the UNMIK Regulation No. 1999/1 on 25 July 1999 UNMIK undertook an obligation to observe internationally recognised human </w:t>
      </w:r>
      <w:r w:rsidRPr="00DC2CE0">
        <w:rPr>
          <w:bCs/>
        </w:rPr>
        <w:t>rights</w:t>
      </w:r>
      <w:r w:rsidRPr="00DC2CE0">
        <w:rPr>
          <w:lang w:eastAsia="nl-BE"/>
        </w:rPr>
        <w:t xml:space="preserve"> standards in exercising its functions. This undertaking was detailed  in UNMIK Regulation No. 1999/24 of 12 December 1999, by which UNMIK assumed obligations under the following human rights instruments</w:t>
      </w:r>
      <w:r w:rsidRPr="00DC2CE0">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C2CE0">
          <w:rPr>
            <w:rStyle w:val="Hyperlink"/>
            <w:color w:val="auto"/>
            <w:u w:val="none"/>
          </w:rPr>
          <w:t>the Convention Against Torture and Other Cruel, Inhuman or Degrading Treatment or Punishment</w:t>
        </w:r>
      </w:hyperlink>
      <w:r w:rsidRPr="00DC2CE0">
        <w:t>, the Convention on the Rights of the Child.</w:t>
      </w:r>
      <w:bookmarkStart w:id="4" w:name="_Ref317493050"/>
      <w:bookmarkStart w:id="5" w:name="_Ref347495661"/>
      <w:bookmarkEnd w:id="2"/>
    </w:p>
    <w:p w:rsidR="00FE50D9" w:rsidRPr="00DC2CE0" w:rsidRDefault="00FE50D9" w:rsidP="00FE50D9">
      <w:pPr>
        <w:pStyle w:val="ListParagraph"/>
        <w:rPr>
          <w:rFonts w:cs="CAGLHH+TimesNewRoman"/>
        </w:rPr>
      </w:pPr>
    </w:p>
    <w:p w:rsidR="00B01CFB" w:rsidRPr="00DC2CE0" w:rsidRDefault="00B47433" w:rsidP="001707FB">
      <w:pPr>
        <w:pStyle w:val="ListParagraph"/>
        <w:numPr>
          <w:ilvl w:val="0"/>
          <w:numId w:val="2"/>
        </w:numPr>
        <w:jc w:val="both"/>
      </w:pPr>
      <w:r w:rsidRPr="00DC2CE0">
        <w:rPr>
          <w:rFonts w:cs="CAGLHH+TimesNewRoman"/>
        </w:rPr>
        <w:t xml:space="preserve">The Panel also notes that Section 1.2 of </w:t>
      </w:r>
      <w:r w:rsidRPr="00DC2CE0">
        <w:rPr>
          <w:bCs/>
        </w:rPr>
        <w:t xml:space="preserve">UNMIK Regulation No. 2006/12 of 23 March 2006 on the Establishment of the Human Rights Advisory Panel </w:t>
      </w:r>
      <w:r w:rsidRPr="00DC2CE0">
        <w:rPr>
          <w:rFonts w:cs="CAGLHH+TimesNewRoman"/>
        </w:rPr>
        <w:t xml:space="preserve">provides that the Panel “shall examine complaints from any person or group of individuals claiming to be the victim of a violation by UNMIK of (their) human rights”. It </w:t>
      </w:r>
      <w:r w:rsidRPr="00DC2CE0">
        <w:rPr>
          <w:bCs/>
        </w:rPr>
        <w:t>follows</w:t>
      </w:r>
      <w:r w:rsidRPr="00DC2CE0">
        <w:rPr>
          <w:rFonts w:cs="CAGLHH+TimesNewRoman"/>
        </w:rPr>
        <w:t xml:space="preserve"> that only acts or omissions attributable to UNMIK fall within the jurisdiction </w:t>
      </w:r>
      <w:proofErr w:type="spellStart"/>
      <w:r w:rsidRPr="00DC2CE0">
        <w:rPr>
          <w:rFonts w:cs="CAGLHH+TimesNewRoman"/>
          <w:i/>
        </w:rPr>
        <w:t>ratione</w:t>
      </w:r>
      <w:proofErr w:type="spellEnd"/>
      <w:r w:rsidRPr="00DC2CE0">
        <w:rPr>
          <w:rFonts w:cs="CAGLHH+TimesNewRoman"/>
          <w:i/>
        </w:rPr>
        <w:t xml:space="preserve"> personae</w:t>
      </w:r>
      <w:r w:rsidRPr="00DC2CE0">
        <w:rPr>
          <w:rFonts w:cs="CAGLHH+TimesNewRoman"/>
        </w:rPr>
        <w:t xml:space="preserve"> of the Panel. In this respect, it should be noted, as stated above, that as of </w:t>
      </w:r>
      <w:r w:rsidRPr="00DC2CE0">
        <w:t xml:space="preserve">9 December 2008, UNMIK </w:t>
      </w:r>
      <w:r w:rsidRPr="00DC2CE0">
        <w:rPr>
          <w:bCs/>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DC2CE0">
        <w:rPr>
          <w:bCs/>
          <w:i/>
        </w:rPr>
        <w:t>ratione</w:t>
      </w:r>
      <w:proofErr w:type="spellEnd"/>
      <w:r w:rsidRPr="00DC2CE0">
        <w:rPr>
          <w:bCs/>
          <w:i/>
        </w:rPr>
        <w:t xml:space="preserve"> personae</w:t>
      </w:r>
      <w:r w:rsidRPr="00DC2CE0">
        <w:rPr>
          <w:bCs/>
        </w:rPr>
        <w:t xml:space="preserve"> of the Panel.</w:t>
      </w:r>
      <w:bookmarkEnd w:id="4"/>
      <w:bookmarkEnd w:id="5"/>
    </w:p>
    <w:p w:rsidR="00B01CFB" w:rsidRPr="00DC2CE0" w:rsidRDefault="00B01CFB" w:rsidP="00B01CFB">
      <w:pPr>
        <w:pStyle w:val="ListParagraph"/>
        <w:rPr>
          <w:rFonts w:cs="CAGLHH+TimesNewRoman"/>
        </w:rPr>
      </w:pPr>
    </w:p>
    <w:p w:rsidR="00B01CFB" w:rsidRPr="00DC2CE0" w:rsidRDefault="00B47433" w:rsidP="001707FB">
      <w:pPr>
        <w:pStyle w:val="ListParagraph"/>
        <w:numPr>
          <w:ilvl w:val="0"/>
          <w:numId w:val="2"/>
        </w:numPr>
        <w:jc w:val="both"/>
      </w:pPr>
      <w:r w:rsidRPr="00DC2CE0">
        <w:rPr>
          <w:rFonts w:cs="CAGLHH+TimesNewRoman"/>
        </w:rPr>
        <w:t xml:space="preserve">Likewise, the Panel emphasises that, as far as its jurisdiction </w:t>
      </w:r>
      <w:proofErr w:type="spellStart"/>
      <w:r w:rsidRPr="00DC2CE0">
        <w:rPr>
          <w:rFonts w:cs="CAGLHH+TimesNewRoman"/>
          <w:i/>
        </w:rPr>
        <w:t>ratione</w:t>
      </w:r>
      <w:proofErr w:type="spellEnd"/>
      <w:r w:rsidRPr="00DC2CE0">
        <w:rPr>
          <w:rFonts w:cs="CAGLHH+TimesNewRoman"/>
          <w:i/>
        </w:rPr>
        <w:t xml:space="preserve"> </w:t>
      </w:r>
      <w:proofErr w:type="spellStart"/>
      <w:r w:rsidRPr="00DC2CE0">
        <w:rPr>
          <w:rFonts w:cs="CAGLHH+TimesNewRoman"/>
          <w:i/>
        </w:rPr>
        <w:t>materiae</w:t>
      </w:r>
      <w:proofErr w:type="spellEnd"/>
      <w:r w:rsidRPr="00DC2CE0">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0D3FCD" w:rsidRPr="00DC2CE0">
        <w:rPr>
          <w:rFonts w:cs="CAGLHH+TimesNewRoman"/>
        </w:rPr>
        <w:t>48</w:t>
      </w:r>
      <w:r w:rsidRPr="00DC2CE0">
        <w:rPr>
          <w:rFonts w:cs="CAGLHH+TimesNewRoman"/>
        </w:rPr>
        <w:t>).</w:t>
      </w:r>
      <w:r w:rsidRPr="00DC2CE0">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 w:name="_Ref346123885"/>
    </w:p>
    <w:p w:rsidR="00B01CFB" w:rsidRPr="00DC2CE0" w:rsidRDefault="00B01CFB" w:rsidP="00B01CFB">
      <w:pPr>
        <w:pStyle w:val="ListParagraph"/>
        <w:rPr>
          <w:bCs/>
        </w:rPr>
      </w:pPr>
    </w:p>
    <w:p w:rsidR="00B01CFB" w:rsidRPr="00DC2CE0" w:rsidRDefault="00B47433" w:rsidP="001707FB">
      <w:pPr>
        <w:pStyle w:val="ListParagraph"/>
        <w:numPr>
          <w:ilvl w:val="0"/>
          <w:numId w:val="2"/>
        </w:numPr>
        <w:jc w:val="both"/>
      </w:pPr>
      <w:r w:rsidRPr="00DC2CE0">
        <w:rPr>
          <w:bCs/>
        </w:rPr>
        <w:t>The Panel further notes that Section 2 of UNMIK Regulation No. 2006/12 provides that t</w:t>
      </w:r>
      <w:r w:rsidRPr="00DC2CE0">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DC2CE0">
        <w:rPr>
          <w:rFonts w:cs="CAGLHH+TimesNewRoman"/>
          <w:i/>
        </w:rPr>
        <w:t>ratione</w:t>
      </w:r>
      <w:proofErr w:type="spellEnd"/>
      <w:r w:rsidRPr="00DC2CE0">
        <w:rPr>
          <w:rFonts w:cs="CAGLHH+TimesNewRoman"/>
          <w:i/>
        </w:rPr>
        <w:t xml:space="preserve"> </w:t>
      </w:r>
      <w:proofErr w:type="spellStart"/>
      <w:r w:rsidRPr="00DC2CE0">
        <w:rPr>
          <w:rFonts w:cs="CAGLHH+TimesNewRoman"/>
          <w:i/>
        </w:rPr>
        <w:t>temporis</w:t>
      </w:r>
      <w:proofErr w:type="spellEnd"/>
      <w:r w:rsidRPr="00DC2CE0">
        <w:rPr>
          <w:rFonts w:cs="CAGLHH+TimesNewRoman"/>
        </w:rPr>
        <w:t xml:space="preserve"> of the Panel. However, to the extent that such events gave rise to a continuing situation, the Panel has jurisdiction to examine complaints relating to that situation</w:t>
      </w:r>
      <w:bookmarkEnd w:id="3"/>
      <w:r w:rsidRPr="00DC2CE0">
        <w:rPr>
          <w:rFonts w:cs="CAGLHH+TimesNewRoman"/>
        </w:rPr>
        <w:t xml:space="preserve"> (see European Court of Human Rights (</w:t>
      </w:r>
      <w:proofErr w:type="spellStart"/>
      <w:r w:rsidRPr="00DC2CE0">
        <w:rPr>
          <w:rFonts w:cs="CAGLHH+TimesNewRoman"/>
        </w:rPr>
        <w:t>ECtHR</w:t>
      </w:r>
      <w:proofErr w:type="spellEnd"/>
      <w:r w:rsidRPr="00DC2CE0">
        <w:rPr>
          <w:rFonts w:cs="CAGLHH+TimesNewRoman"/>
        </w:rPr>
        <w:t>), Grand Chamber</w:t>
      </w:r>
      <w:r w:rsidR="00130B5C" w:rsidRPr="00DC2CE0">
        <w:rPr>
          <w:rFonts w:cs="CAGLHH+TimesNewRoman"/>
        </w:rPr>
        <w:t xml:space="preserve"> [GC]</w:t>
      </w:r>
      <w:r w:rsidRPr="00DC2CE0">
        <w:rPr>
          <w:rFonts w:cs="CAGLHH+TimesNewRoman"/>
        </w:rPr>
        <w:t xml:space="preserve">, </w:t>
      </w:r>
      <w:proofErr w:type="spellStart"/>
      <w:r w:rsidRPr="00DC2CE0">
        <w:rPr>
          <w:rFonts w:cs="CAGLHH+TimesNewRoman"/>
          <w:i/>
        </w:rPr>
        <w:t>Varnava</w:t>
      </w:r>
      <w:proofErr w:type="spellEnd"/>
      <w:r w:rsidRPr="00DC2CE0">
        <w:rPr>
          <w:rFonts w:cs="CAGLHH+TimesNewRoman"/>
          <w:i/>
        </w:rPr>
        <w:t xml:space="preserve"> and Others v. Turkey</w:t>
      </w:r>
      <w:r w:rsidRPr="00DC2CE0">
        <w:rPr>
          <w:rFonts w:cs="CAGLHH+TimesNewRoman"/>
        </w:rPr>
        <w:t xml:space="preserve">, nos. 16064/90 and others, judgment of 18 September 2009, §§ 147-149; </w:t>
      </w:r>
      <w:proofErr w:type="spellStart"/>
      <w:r w:rsidRPr="00DC2CE0">
        <w:rPr>
          <w:rFonts w:cs="CAGLHH+TimesNewRoman"/>
        </w:rPr>
        <w:t>ECtHR</w:t>
      </w:r>
      <w:proofErr w:type="spellEnd"/>
      <w:r w:rsidRPr="00DC2CE0">
        <w:rPr>
          <w:rFonts w:cs="CAGLHH+TimesNewRoman"/>
        </w:rPr>
        <w:t xml:space="preserve">, </w:t>
      </w:r>
      <w:r w:rsidRPr="00DC2CE0">
        <w:rPr>
          <w:rFonts w:cs="CAGLHH+TimesNewRoman"/>
          <w:i/>
        </w:rPr>
        <w:t xml:space="preserve">Cyprus v. Turkey </w:t>
      </w:r>
      <w:r w:rsidRPr="00DC2CE0">
        <w:rPr>
          <w:rFonts w:cs="CAGLHH+TimesNewRoman"/>
        </w:rPr>
        <w:t xml:space="preserve">[GC] no. </w:t>
      </w:r>
      <w:r w:rsidRPr="00DC2CE0">
        <w:rPr>
          <w:rStyle w:val="s85f22697"/>
        </w:rPr>
        <w:t>25781/94, judgment of 10 May 2001,</w:t>
      </w:r>
      <w:r w:rsidRPr="00DC2CE0">
        <w:rPr>
          <w:rFonts w:cs="CAGLHH+TimesNewRoman"/>
        </w:rPr>
        <w:t xml:space="preserve"> § 136, ECHR 2001-IV).</w:t>
      </w:r>
      <w:bookmarkEnd w:id="6"/>
      <w:r w:rsidRPr="00DC2CE0">
        <w:rPr>
          <w:rFonts w:cs="CAGLHH+TimesNewRoman"/>
        </w:rPr>
        <w:t xml:space="preserve"> </w:t>
      </w:r>
    </w:p>
    <w:p w:rsidR="00B01CFB" w:rsidRDefault="00B01CFB" w:rsidP="00B01CFB">
      <w:pPr>
        <w:pStyle w:val="ListParagraph"/>
      </w:pPr>
    </w:p>
    <w:p w:rsidR="00537CAC" w:rsidRDefault="00537CAC" w:rsidP="00B01CFB">
      <w:pPr>
        <w:pStyle w:val="ListParagraph"/>
      </w:pPr>
    </w:p>
    <w:p w:rsidR="00537CAC" w:rsidRPr="00DC2CE0" w:rsidRDefault="00537CAC" w:rsidP="00B01CFB">
      <w:pPr>
        <w:pStyle w:val="ListParagraph"/>
      </w:pPr>
    </w:p>
    <w:p w:rsidR="00B01CFB" w:rsidRPr="00DC2CE0" w:rsidRDefault="00AB4495" w:rsidP="001707FB">
      <w:pPr>
        <w:pStyle w:val="ListParagraph"/>
        <w:numPr>
          <w:ilvl w:val="0"/>
          <w:numId w:val="4"/>
        </w:numPr>
        <w:jc w:val="both"/>
        <w:rPr>
          <w:b/>
        </w:rPr>
      </w:pPr>
      <w:r w:rsidRPr="00DC2CE0">
        <w:rPr>
          <w:b/>
        </w:rPr>
        <w:t>The p</w:t>
      </w:r>
      <w:r w:rsidR="00B01CFB" w:rsidRPr="00DC2CE0">
        <w:rPr>
          <w:b/>
        </w:rPr>
        <w:t>arties’ submissions</w:t>
      </w:r>
    </w:p>
    <w:p w:rsidR="00B01CFB" w:rsidRPr="00DC2CE0" w:rsidRDefault="00B01CFB" w:rsidP="00B01CFB">
      <w:pPr>
        <w:pStyle w:val="ListParagraph"/>
      </w:pPr>
    </w:p>
    <w:p w:rsidR="00F147D0" w:rsidRPr="00DC2CE0" w:rsidRDefault="00B52EBE" w:rsidP="001707FB">
      <w:pPr>
        <w:pStyle w:val="ListParagraph"/>
        <w:numPr>
          <w:ilvl w:val="0"/>
          <w:numId w:val="2"/>
        </w:numPr>
        <w:jc w:val="both"/>
      </w:pPr>
      <w:r w:rsidRPr="00DC2CE0">
        <w:t>The complainant in substance allege</w:t>
      </w:r>
      <w:r w:rsidR="002B486D" w:rsidRPr="00DC2CE0">
        <w:t>s a</w:t>
      </w:r>
      <w:r w:rsidRPr="00DC2CE0">
        <w:t xml:space="preserve"> violation concerning the lack of an adequate investigation into the </w:t>
      </w:r>
      <w:r w:rsidR="00301D22" w:rsidRPr="00DC2CE0">
        <w:t>abduction</w:t>
      </w:r>
      <w:r w:rsidRPr="00DC2CE0">
        <w:t xml:space="preserve"> of </w:t>
      </w:r>
      <w:r w:rsidR="002B486D" w:rsidRPr="00DC2CE0">
        <w:t xml:space="preserve">Mr </w:t>
      </w:r>
      <w:proofErr w:type="spellStart"/>
      <w:r w:rsidR="002B486D" w:rsidRPr="00DC2CE0">
        <w:t>Pavić</w:t>
      </w:r>
      <w:proofErr w:type="spellEnd"/>
      <w:r w:rsidRPr="00DC2CE0">
        <w:t xml:space="preserve">. </w:t>
      </w:r>
      <w:r w:rsidR="002B486D" w:rsidRPr="00DC2CE0">
        <w:t>She</w:t>
      </w:r>
      <w:r w:rsidRPr="00DC2CE0">
        <w:t xml:space="preserve"> also state</w:t>
      </w:r>
      <w:r w:rsidR="002B486D" w:rsidRPr="00DC2CE0">
        <w:t>s</w:t>
      </w:r>
      <w:r w:rsidRPr="00DC2CE0">
        <w:t xml:space="preserve"> that </w:t>
      </w:r>
      <w:r w:rsidR="002B486D" w:rsidRPr="00DC2CE0">
        <w:t>she was</w:t>
      </w:r>
      <w:r w:rsidRPr="00DC2CE0">
        <w:t xml:space="preserve"> not informed as to whether an investigation was conducted and what the outcome was. </w:t>
      </w:r>
    </w:p>
    <w:p w:rsidR="006F7943" w:rsidRPr="00DC2CE0" w:rsidRDefault="006F7943" w:rsidP="006F7943">
      <w:pPr>
        <w:pStyle w:val="ListParagraph"/>
        <w:ind w:left="360"/>
        <w:jc w:val="both"/>
      </w:pPr>
    </w:p>
    <w:p w:rsidR="006F7943" w:rsidRPr="00DC2CE0" w:rsidRDefault="006F7943" w:rsidP="006F7943">
      <w:pPr>
        <w:numPr>
          <w:ilvl w:val="0"/>
          <w:numId w:val="2"/>
        </w:numPr>
        <w:tabs>
          <w:tab w:val="left" w:pos="360"/>
        </w:tabs>
        <w:suppressAutoHyphens/>
        <w:autoSpaceDE w:val="0"/>
        <w:jc w:val="both"/>
      </w:pPr>
      <w:bookmarkStart w:id="7" w:name="_Ref347846976"/>
      <w:r w:rsidRPr="00DC2CE0">
        <w:rPr>
          <w:bCs/>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r w:rsidRPr="00DC2CE0">
        <w:t xml:space="preserve">Mr </w:t>
      </w:r>
      <w:proofErr w:type="spellStart"/>
      <w:r w:rsidRPr="00DC2CE0">
        <w:t>Pavić</w:t>
      </w:r>
      <w:r w:rsidRPr="00DC2CE0">
        <w:rPr>
          <w:bCs/>
        </w:rPr>
        <w:t>’s</w:t>
      </w:r>
      <w:proofErr w:type="spellEnd"/>
      <w:r w:rsidRPr="00DC2CE0">
        <w:rPr>
          <w:bCs/>
        </w:rPr>
        <w:t xml:space="preserve"> abduction occurred.</w:t>
      </w:r>
      <w:bookmarkEnd w:id="7"/>
    </w:p>
    <w:p w:rsidR="006F7943" w:rsidRPr="00DC2CE0" w:rsidRDefault="006F7943" w:rsidP="006F7943">
      <w:pPr>
        <w:tabs>
          <w:tab w:val="left" w:pos="360"/>
        </w:tabs>
        <w:suppressAutoHyphens/>
        <w:autoSpaceDE w:val="0"/>
        <w:jc w:val="both"/>
      </w:pPr>
    </w:p>
    <w:p w:rsidR="006F7943" w:rsidRPr="00DC2CE0" w:rsidRDefault="006F7943" w:rsidP="006F7943">
      <w:pPr>
        <w:pStyle w:val="ListParagraph"/>
        <w:numPr>
          <w:ilvl w:val="0"/>
          <w:numId w:val="2"/>
        </w:numPr>
        <w:tabs>
          <w:tab w:val="left" w:pos="360"/>
        </w:tabs>
        <w:suppressAutoHyphens/>
        <w:autoSpaceDE w:val="0"/>
        <w:jc w:val="both"/>
      </w:pPr>
      <w:r w:rsidRPr="00DC2CE0">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Pr="00DC2CE0">
        <w:rPr>
          <w:i/>
        </w:rPr>
        <w:t>Palić</w:t>
      </w:r>
      <w:proofErr w:type="spellEnd"/>
      <w:r w:rsidRPr="00DC2CE0">
        <w:rPr>
          <w:i/>
        </w:rPr>
        <w:t xml:space="preserve"> v. Bosnia and Herzegovina</w:t>
      </w:r>
      <w:r w:rsidRPr="00DC2CE0">
        <w:t>, stating at paragraph 70:</w:t>
      </w:r>
    </w:p>
    <w:p w:rsidR="006F7943" w:rsidRPr="00DC2CE0" w:rsidRDefault="006F7943" w:rsidP="006F7943">
      <w:pPr>
        <w:pStyle w:val="ListParagraph"/>
      </w:pPr>
    </w:p>
    <w:p w:rsidR="006F7943" w:rsidRPr="00DC2CE0" w:rsidRDefault="006F7943" w:rsidP="006F7943">
      <w:pPr>
        <w:suppressAutoHyphens/>
        <w:ind w:left="630"/>
        <w:jc w:val="both"/>
      </w:pPr>
      <w:r w:rsidRPr="00DC2CE0">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6F7943" w:rsidRPr="00DC2CE0" w:rsidRDefault="006F7943" w:rsidP="006F7943">
      <w:pPr>
        <w:suppressAutoHyphens/>
        <w:jc w:val="both"/>
      </w:pPr>
    </w:p>
    <w:p w:rsidR="006F7943" w:rsidRPr="00DC2CE0" w:rsidRDefault="006F7943" w:rsidP="006F7943">
      <w:pPr>
        <w:pStyle w:val="Default"/>
        <w:numPr>
          <w:ilvl w:val="0"/>
          <w:numId w:val="2"/>
        </w:numPr>
        <w:tabs>
          <w:tab w:val="left" w:pos="720"/>
        </w:tabs>
        <w:jc w:val="both"/>
        <w:rPr>
          <w:i/>
          <w:color w:val="auto"/>
          <w:lang w:val="en-GB"/>
        </w:rPr>
      </w:pPr>
      <w:r w:rsidRPr="00DC2CE0">
        <w:rPr>
          <w:color w:val="auto"/>
          <w:lang w:val="en-GB"/>
        </w:rPr>
        <w:t xml:space="preserve">In the view of the SRSG, UNMIK was faced with a very similar situation in Kosovo as the one in Bosnia in the aftermath of that conflict. The SRSG states that thousands of people were displaced or went missing. Many of the persons who went missing were abducted, killed, and buried in unmarked graves inside or outside Kosovo, which made it very difficult locating and recovering their mortal remains. </w:t>
      </w:r>
    </w:p>
    <w:p w:rsidR="006F7943" w:rsidRPr="00DC2CE0" w:rsidRDefault="006F7943" w:rsidP="006F7943">
      <w:pPr>
        <w:pStyle w:val="Default"/>
        <w:tabs>
          <w:tab w:val="left" w:pos="360"/>
          <w:tab w:val="left" w:pos="720"/>
        </w:tabs>
        <w:ind w:left="360"/>
        <w:jc w:val="both"/>
        <w:rPr>
          <w:i/>
          <w:color w:val="auto"/>
          <w:lang w:val="en-GB"/>
        </w:rPr>
      </w:pPr>
    </w:p>
    <w:p w:rsidR="006F7943" w:rsidRPr="00DC2CE0" w:rsidRDefault="006F7943" w:rsidP="006F7943">
      <w:pPr>
        <w:pStyle w:val="ListParagraph"/>
        <w:numPr>
          <w:ilvl w:val="0"/>
          <w:numId w:val="2"/>
        </w:numPr>
        <w:jc w:val="both"/>
      </w:pPr>
      <w:r w:rsidRPr="00DC2CE0">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w:t>
      </w:r>
      <w:proofErr w:type="spellStart"/>
      <w:r w:rsidRPr="00DC2CE0">
        <w:t>Rahovec</w:t>
      </w:r>
      <w:proofErr w:type="spellEnd"/>
      <w:r w:rsidRPr="00DC2CE0">
        <w:t>/</w:t>
      </w:r>
      <w:proofErr w:type="spellStart"/>
      <w:r w:rsidRPr="00DC2CE0">
        <w:t>Orahovac</w:t>
      </w:r>
      <w:proofErr w:type="spellEnd"/>
      <w:r w:rsidRPr="00DC2CE0">
        <w:t xml:space="preserve"> mortuary, with standard operating procedures for all forensic teams except the British one, which operated independently out of </w:t>
      </w:r>
      <w:proofErr w:type="spellStart"/>
      <w:r w:rsidRPr="00DC2CE0">
        <w:t>Prishtinë</w:t>
      </w:r>
      <w:proofErr w:type="spellEnd"/>
      <w:r w:rsidRPr="00DC2CE0">
        <w:t>/</w:t>
      </w:r>
      <w:proofErr w:type="spellStart"/>
      <w:r w:rsidRPr="00DC2CE0">
        <w:t>Priština</w:t>
      </w:r>
      <w:proofErr w:type="spellEnd"/>
      <w:r w:rsidRPr="00DC2CE0">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DC2CE0">
        <w:rPr>
          <w:i/>
        </w:rPr>
        <w:t>ex-officio</w:t>
      </w:r>
      <w:r w:rsidRPr="00DC2CE0">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DC2CE0">
        <w:rPr>
          <w:i/>
        </w:rPr>
        <w:t>Palić</w:t>
      </w:r>
      <w:proofErr w:type="spellEnd"/>
      <w:r w:rsidRPr="00DC2CE0">
        <w:rPr>
          <w:i/>
        </w:rPr>
        <w:t xml:space="preserve"> </w:t>
      </w:r>
      <w:r w:rsidRPr="00DC2CE0">
        <w:t>case referred to above. The SRSG concludes that the work of the OMPF contributed greatly to determining the whereabouts and fate of the missing from the Kosovo conflict; however it was not possible to locate all the missing within the timeframe and resources available at that time.</w:t>
      </w:r>
    </w:p>
    <w:p w:rsidR="006F7943" w:rsidRPr="00DC2CE0" w:rsidRDefault="006F7943" w:rsidP="006F7943">
      <w:pPr>
        <w:pStyle w:val="ListParagraph"/>
        <w:ind w:left="360"/>
        <w:jc w:val="both"/>
      </w:pPr>
    </w:p>
    <w:p w:rsidR="006F7943" w:rsidRPr="00DC2CE0" w:rsidRDefault="006F7943" w:rsidP="006F7943">
      <w:pPr>
        <w:pStyle w:val="Default"/>
        <w:numPr>
          <w:ilvl w:val="0"/>
          <w:numId w:val="2"/>
        </w:numPr>
        <w:tabs>
          <w:tab w:val="left" w:pos="720"/>
        </w:tabs>
        <w:jc w:val="both"/>
        <w:rPr>
          <w:color w:val="auto"/>
          <w:lang w:val="en-GB"/>
        </w:rPr>
      </w:pPr>
      <w:r w:rsidRPr="00DC2CE0">
        <w:rPr>
          <w:color w:val="auto"/>
          <w:lang w:val="en-GB"/>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6F7943" w:rsidRPr="00DC2CE0" w:rsidRDefault="006F7943" w:rsidP="006F7943">
      <w:pPr>
        <w:pStyle w:val="ListParagraph"/>
        <w:rPr>
          <w:lang w:eastAsia="en-US"/>
        </w:rPr>
      </w:pPr>
    </w:p>
    <w:p w:rsidR="006F7943" w:rsidRPr="00DC2CE0" w:rsidRDefault="006F7943" w:rsidP="006F7943">
      <w:pPr>
        <w:pStyle w:val="Default"/>
        <w:tabs>
          <w:tab w:val="left" w:pos="360"/>
          <w:tab w:val="left" w:pos="720"/>
        </w:tabs>
        <w:ind w:left="720"/>
        <w:jc w:val="both"/>
        <w:rPr>
          <w:color w:val="auto"/>
          <w:lang w:val="en-GB"/>
        </w:rPr>
      </w:pPr>
      <w:r w:rsidRPr="00DC2CE0">
        <w:rPr>
          <w:color w:val="auto"/>
          <w:lang w:val="en-GB"/>
        </w:rPr>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6F7943" w:rsidRPr="00DC2CE0" w:rsidRDefault="006F7943" w:rsidP="006F7943">
      <w:pPr>
        <w:pStyle w:val="Default"/>
        <w:tabs>
          <w:tab w:val="left" w:pos="360"/>
          <w:tab w:val="left" w:pos="720"/>
        </w:tabs>
        <w:ind w:left="720"/>
        <w:jc w:val="both"/>
        <w:rPr>
          <w:color w:val="auto"/>
          <w:lang w:val="en-GB"/>
        </w:rPr>
      </w:pPr>
    </w:p>
    <w:p w:rsidR="006F7943" w:rsidRPr="00DC2CE0" w:rsidRDefault="006F7943" w:rsidP="006F7943">
      <w:pPr>
        <w:pStyle w:val="Default"/>
        <w:tabs>
          <w:tab w:val="left" w:pos="360"/>
          <w:tab w:val="left" w:pos="720"/>
        </w:tabs>
        <w:ind w:left="720"/>
        <w:jc w:val="both"/>
        <w:rPr>
          <w:color w:val="auto"/>
          <w:lang w:val="en-GB"/>
        </w:rPr>
      </w:pPr>
      <w:r w:rsidRPr="00DC2CE0">
        <w:rPr>
          <w:color w:val="auto"/>
          <w:lang w:val="en-GB"/>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6F7943" w:rsidRPr="00DC2CE0" w:rsidRDefault="006F7943" w:rsidP="006F7943">
      <w:pPr>
        <w:pStyle w:val="ListParagraph"/>
        <w:rPr>
          <w:lang w:eastAsia="en-US"/>
        </w:rPr>
      </w:pPr>
    </w:p>
    <w:p w:rsidR="006F7943" w:rsidRPr="00DC2CE0" w:rsidRDefault="006F7943" w:rsidP="006F7943">
      <w:pPr>
        <w:pStyle w:val="Default"/>
        <w:numPr>
          <w:ilvl w:val="0"/>
          <w:numId w:val="2"/>
        </w:numPr>
        <w:tabs>
          <w:tab w:val="left" w:pos="720"/>
        </w:tabs>
        <w:jc w:val="both"/>
        <w:rPr>
          <w:color w:val="auto"/>
          <w:lang w:val="en-GB"/>
        </w:rPr>
      </w:pPr>
      <w:r w:rsidRPr="00DC2CE0">
        <w:rPr>
          <w:color w:val="auto"/>
          <w:lang w:val="en-GB"/>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6F7943" w:rsidRPr="00DC2CE0" w:rsidRDefault="006F7943" w:rsidP="006F7943">
      <w:pPr>
        <w:pStyle w:val="Default"/>
        <w:tabs>
          <w:tab w:val="left" w:pos="720"/>
        </w:tabs>
        <w:ind w:left="360"/>
        <w:jc w:val="both"/>
        <w:rPr>
          <w:color w:val="auto"/>
          <w:lang w:val="en-GB"/>
        </w:rPr>
      </w:pPr>
    </w:p>
    <w:p w:rsidR="00345302" w:rsidRPr="00DC2CE0" w:rsidRDefault="006F7943" w:rsidP="006F7943">
      <w:pPr>
        <w:pStyle w:val="ListParagraph"/>
        <w:numPr>
          <w:ilvl w:val="0"/>
          <w:numId w:val="2"/>
        </w:numPr>
        <w:jc w:val="both"/>
      </w:pPr>
      <w:r w:rsidRPr="00DC2CE0">
        <w:rPr>
          <w:bCs/>
        </w:rPr>
        <w:t xml:space="preserve">With regard to this particular case, the SRSG specifically argues that “based on the documents obtained ... it is evident that UNMIK Police did open and pursue an investigation into the whereabouts of </w:t>
      </w:r>
      <w:r w:rsidRPr="00DC2CE0">
        <w:t xml:space="preserve">Mr </w:t>
      </w:r>
      <w:proofErr w:type="spellStart"/>
      <w:r w:rsidRPr="00DC2CE0">
        <w:t>Pavić</w:t>
      </w:r>
      <w:proofErr w:type="spellEnd"/>
      <w:r w:rsidRPr="00DC2CE0">
        <w:t xml:space="preserve">. The SRSG goes on to cite the fact that </w:t>
      </w:r>
      <w:r w:rsidR="00345302" w:rsidRPr="00DC2CE0">
        <w:t>“</w:t>
      </w:r>
      <w:r w:rsidRPr="00DC2CE0">
        <w:t>several UNMIK International Police inves</w:t>
      </w:r>
      <w:r w:rsidR="00C1000C" w:rsidRPr="00DC2CE0">
        <w:t>tigators had been assigned and carried out investigations in which witness statements had been documented.</w:t>
      </w:r>
      <w:r w:rsidR="00345302" w:rsidRPr="00DC2CE0">
        <w:t xml:space="preserve"> L</w:t>
      </w:r>
      <w:r w:rsidR="00C1000C" w:rsidRPr="00DC2CE0">
        <w:t xml:space="preserve">ists of suspected perpetrators have also been identified and there is an </w:t>
      </w:r>
      <w:proofErr w:type="spellStart"/>
      <w:r w:rsidR="00C1000C" w:rsidRPr="00DC2CE0">
        <w:t>ongoing</w:t>
      </w:r>
      <w:proofErr w:type="spellEnd"/>
      <w:r w:rsidR="00C1000C" w:rsidRPr="00DC2CE0">
        <w:t xml:space="preserve"> investigation by EULEX War Crimes Investigation Unit”.</w:t>
      </w:r>
      <w:r w:rsidRPr="00DC2CE0">
        <w:t xml:space="preserve"> </w:t>
      </w:r>
      <w:r w:rsidRPr="00DC2CE0">
        <w:rPr>
          <w:bCs/>
        </w:rPr>
        <w:t xml:space="preserve"> </w:t>
      </w:r>
    </w:p>
    <w:p w:rsidR="00345302" w:rsidRPr="00DC2CE0" w:rsidRDefault="00345302" w:rsidP="00345302">
      <w:pPr>
        <w:pStyle w:val="ListParagraph"/>
        <w:rPr>
          <w:bCs/>
        </w:rPr>
      </w:pPr>
    </w:p>
    <w:p w:rsidR="00C1000C" w:rsidRPr="00DC2CE0" w:rsidRDefault="00345302" w:rsidP="006F7943">
      <w:pPr>
        <w:pStyle w:val="ListParagraph"/>
        <w:numPr>
          <w:ilvl w:val="0"/>
          <w:numId w:val="2"/>
        </w:numPr>
        <w:tabs>
          <w:tab w:val="left" w:pos="360"/>
        </w:tabs>
        <w:suppressAutoHyphens/>
        <w:autoSpaceDE w:val="0"/>
        <w:jc w:val="both"/>
      </w:pPr>
      <w:bookmarkStart w:id="8" w:name="_Ref342314550"/>
      <w:r w:rsidRPr="00DC2CE0">
        <w:rPr>
          <w:bCs/>
        </w:rPr>
        <w:t xml:space="preserve">The SRSG finally argues that “from the documents available at this time that UNMIK Police did make investigative efforts in accordance with Article 2 procedural requirements to determine the whereabouts of </w:t>
      </w:r>
      <w:r w:rsidRPr="00DC2CE0">
        <w:t xml:space="preserve">Mr </w:t>
      </w:r>
      <w:proofErr w:type="spellStart"/>
      <w:r w:rsidRPr="00DC2CE0">
        <w:t>Pavić</w:t>
      </w:r>
      <w:proofErr w:type="spellEnd"/>
      <w:r w:rsidRPr="00DC2CE0">
        <w:rPr>
          <w:bCs/>
        </w:rPr>
        <w:t xml:space="preserve">” </w:t>
      </w:r>
      <w:bookmarkEnd w:id="8"/>
    </w:p>
    <w:p w:rsidR="00C1000C" w:rsidRPr="00DC2CE0" w:rsidRDefault="00C1000C" w:rsidP="00C1000C">
      <w:pPr>
        <w:pStyle w:val="ListParagraph"/>
        <w:rPr>
          <w:bCs/>
        </w:rPr>
      </w:pPr>
    </w:p>
    <w:p w:rsidR="009B3570" w:rsidRPr="00DC2CE0" w:rsidRDefault="009B3570" w:rsidP="001707FB">
      <w:pPr>
        <w:pStyle w:val="ListParagraph"/>
        <w:numPr>
          <w:ilvl w:val="0"/>
          <w:numId w:val="4"/>
        </w:numPr>
        <w:suppressAutoHyphens/>
        <w:autoSpaceDE w:val="0"/>
        <w:jc w:val="both"/>
        <w:rPr>
          <w:b/>
        </w:rPr>
      </w:pPr>
      <w:bookmarkStart w:id="9" w:name="_Ref354590473"/>
      <w:r w:rsidRPr="00DC2CE0">
        <w:rPr>
          <w:b/>
        </w:rPr>
        <w:t>The Panel’s assessment</w:t>
      </w:r>
    </w:p>
    <w:p w:rsidR="009B3570" w:rsidRPr="00DC2CE0" w:rsidRDefault="009B3570" w:rsidP="009B3570">
      <w:pPr>
        <w:pStyle w:val="ListParagraph"/>
        <w:ind w:left="360"/>
        <w:jc w:val="both"/>
      </w:pPr>
    </w:p>
    <w:p w:rsidR="009B3570" w:rsidRPr="00DC2CE0" w:rsidRDefault="009B3570" w:rsidP="001707FB">
      <w:pPr>
        <w:pStyle w:val="MediumGrid1-Accent21"/>
        <w:numPr>
          <w:ilvl w:val="0"/>
          <w:numId w:val="6"/>
        </w:numPr>
        <w:suppressAutoHyphens w:val="0"/>
        <w:ind w:left="360"/>
        <w:contextualSpacing/>
        <w:jc w:val="both"/>
        <w:rPr>
          <w:i/>
          <w:lang w:val="en-GB" w:eastAsia="en-US"/>
        </w:rPr>
      </w:pPr>
      <w:r w:rsidRPr="00DC2CE0">
        <w:rPr>
          <w:i/>
          <w:lang w:val="en-GB" w:eastAsia="en-US"/>
        </w:rPr>
        <w:t>Submission of relevant files</w:t>
      </w:r>
    </w:p>
    <w:p w:rsidR="009B3570" w:rsidRPr="00DC2CE0" w:rsidRDefault="009B3570" w:rsidP="009B3570">
      <w:pPr>
        <w:pStyle w:val="ListParagraph"/>
        <w:ind w:left="360"/>
        <w:jc w:val="both"/>
      </w:pPr>
    </w:p>
    <w:p w:rsidR="009B3570" w:rsidRPr="00DC2CE0" w:rsidRDefault="00345302" w:rsidP="00345302">
      <w:pPr>
        <w:numPr>
          <w:ilvl w:val="0"/>
          <w:numId w:val="2"/>
        </w:numPr>
        <w:tabs>
          <w:tab w:val="left" w:pos="360"/>
        </w:tabs>
        <w:suppressAutoHyphens/>
        <w:autoSpaceDE w:val="0"/>
        <w:jc w:val="both"/>
        <w:rPr>
          <w:bCs/>
        </w:rPr>
      </w:pPr>
      <w:r w:rsidRPr="00DC2CE0">
        <w:t xml:space="preserve">The SRSG observes that all available files regarding the investigation have been presented to the Panel. </w:t>
      </w:r>
      <w:bookmarkEnd w:id="9"/>
      <w:r w:rsidR="00A547FB" w:rsidRPr="00DC2CE0">
        <w:t xml:space="preserve"> </w:t>
      </w:r>
    </w:p>
    <w:p w:rsidR="009317A4" w:rsidRPr="00DC2CE0" w:rsidRDefault="009317A4" w:rsidP="009317A4">
      <w:pPr>
        <w:pStyle w:val="ListParagraph"/>
        <w:ind w:left="360"/>
        <w:jc w:val="both"/>
      </w:pPr>
    </w:p>
    <w:p w:rsidR="009B3570" w:rsidRPr="00DC2CE0" w:rsidRDefault="009B3570" w:rsidP="001707FB">
      <w:pPr>
        <w:pStyle w:val="ListParagraph"/>
        <w:numPr>
          <w:ilvl w:val="0"/>
          <w:numId w:val="2"/>
        </w:numPr>
        <w:jc w:val="both"/>
      </w:pPr>
      <w:r w:rsidRPr="00DC2CE0">
        <w:t xml:space="preserve">The Panel notes that Section 15 of UNMIK Regulation No. 2006/12 states that the Panel may request the submission from UNMIK of any documents and that the SRSG shall cooperate with the Panel and </w:t>
      </w:r>
      <w:proofErr w:type="gramStart"/>
      <w:r w:rsidRPr="00DC2CE0">
        <w:t>provide</w:t>
      </w:r>
      <w:proofErr w:type="gramEnd"/>
      <w:r w:rsidRPr="00DC2CE0">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DC2CE0">
        <w:t>ECtHR</w:t>
      </w:r>
      <w:proofErr w:type="spellEnd"/>
      <w:r w:rsidRPr="00DC2CE0">
        <w:t xml:space="preserve">, </w:t>
      </w:r>
      <w:proofErr w:type="spellStart"/>
      <w:r w:rsidRPr="00DC2CE0">
        <w:rPr>
          <w:rStyle w:val="s7d2086b4"/>
          <w:i/>
        </w:rPr>
        <w:t>Çelikbilek</w:t>
      </w:r>
      <w:proofErr w:type="spellEnd"/>
      <w:r w:rsidRPr="00DC2CE0">
        <w:rPr>
          <w:rStyle w:val="s7d2086b4"/>
          <w:i/>
        </w:rPr>
        <w:t xml:space="preserve"> </w:t>
      </w:r>
      <w:r w:rsidRPr="00DC2CE0">
        <w:rPr>
          <w:i/>
        </w:rPr>
        <w:t>v. Turkey</w:t>
      </w:r>
      <w:r w:rsidRPr="00DC2CE0">
        <w:t xml:space="preserve">, </w:t>
      </w:r>
      <w:r w:rsidRPr="00DC2CE0">
        <w:rPr>
          <w:lang w:eastAsia="nl-BE"/>
        </w:rPr>
        <w:t>no. 27693/95, judgment of 31 May 2005</w:t>
      </w:r>
      <w:r w:rsidRPr="00DC2CE0">
        <w:rPr>
          <w:i/>
          <w:iCs/>
          <w:lang w:eastAsia="nl-BE"/>
        </w:rPr>
        <w:t>,</w:t>
      </w:r>
      <w:r w:rsidRPr="00DC2CE0">
        <w:rPr>
          <w:iCs/>
          <w:lang w:eastAsia="nl-BE"/>
        </w:rPr>
        <w:t xml:space="preserve"> § 56).</w:t>
      </w:r>
    </w:p>
    <w:p w:rsidR="00135775" w:rsidRPr="00DC2CE0" w:rsidRDefault="00135775" w:rsidP="00135775">
      <w:pPr>
        <w:pStyle w:val="ListParagraph"/>
        <w:ind w:left="360"/>
        <w:jc w:val="both"/>
      </w:pPr>
    </w:p>
    <w:p w:rsidR="00A547FB" w:rsidRPr="00DC2CE0" w:rsidRDefault="00A547FB" w:rsidP="001707FB">
      <w:pPr>
        <w:pStyle w:val="ListParagraph"/>
        <w:numPr>
          <w:ilvl w:val="0"/>
          <w:numId w:val="2"/>
        </w:numPr>
        <w:jc w:val="both"/>
      </w:pPr>
      <w:r w:rsidRPr="00DC2CE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DC2CE0">
        <w:rPr>
          <w:i/>
        </w:rPr>
        <w:t>per se</w:t>
      </w:r>
      <w:r w:rsidRPr="00DC2CE0">
        <w:t xml:space="preserve"> issues under Article 2. The Panel likewise notes that UNMIK has not provided any explanation as to why the documentation may be incomplete, nor with respect to which parts. </w:t>
      </w:r>
    </w:p>
    <w:p w:rsidR="00EC6FD7" w:rsidRPr="00DC2CE0" w:rsidRDefault="00EC6FD7" w:rsidP="00EC6FD7">
      <w:pPr>
        <w:pStyle w:val="ListParagraph"/>
      </w:pPr>
    </w:p>
    <w:p w:rsidR="00EC6FD7" w:rsidRPr="00DC2CE0" w:rsidRDefault="00EC6FD7" w:rsidP="001707FB">
      <w:pPr>
        <w:numPr>
          <w:ilvl w:val="0"/>
          <w:numId w:val="2"/>
        </w:numPr>
        <w:suppressAutoHyphens/>
        <w:autoSpaceDE w:val="0"/>
        <w:jc w:val="both"/>
      </w:pPr>
      <w:r w:rsidRPr="00DC2CE0">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DC2CE0">
        <w:t>ECtHR</w:t>
      </w:r>
      <w:proofErr w:type="spellEnd"/>
      <w:r w:rsidRPr="00DC2CE0">
        <w:t xml:space="preserve">, </w:t>
      </w:r>
      <w:proofErr w:type="spellStart"/>
      <w:r w:rsidRPr="00DC2CE0">
        <w:rPr>
          <w:i/>
        </w:rPr>
        <w:t>Tsechoyev</w:t>
      </w:r>
      <w:proofErr w:type="spellEnd"/>
      <w:r w:rsidRPr="00DC2CE0">
        <w:rPr>
          <w:i/>
        </w:rPr>
        <w:t xml:space="preserve"> v. Russia</w:t>
      </w:r>
      <w:r w:rsidRPr="00DC2CE0">
        <w:t>, no. 39358/05, judgment of</w:t>
      </w:r>
      <w:r w:rsidRPr="00DC2CE0">
        <w:rPr>
          <w:i/>
        </w:rPr>
        <w:t xml:space="preserve"> </w:t>
      </w:r>
      <w:r w:rsidRPr="00DC2CE0">
        <w:t xml:space="preserve">15 March 2011, § 146). </w:t>
      </w:r>
      <w:bookmarkStart w:id="10" w:name="_Ref347993393"/>
    </w:p>
    <w:p w:rsidR="00EC6FD7" w:rsidRPr="00DC2CE0" w:rsidRDefault="00EC6FD7" w:rsidP="00EC6FD7">
      <w:pPr>
        <w:pStyle w:val="ListParagraph"/>
        <w:rPr>
          <w:i/>
        </w:rPr>
      </w:pPr>
    </w:p>
    <w:p w:rsidR="00EC6FD7" w:rsidRPr="00DC2CE0" w:rsidRDefault="00AE57DF" w:rsidP="00AE57DF">
      <w:pPr>
        <w:suppressAutoHyphens/>
        <w:autoSpaceDE w:val="0"/>
        <w:jc w:val="both"/>
        <w:rPr>
          <w:i/>
        </w:rPr>
      </w:pPr>
      <w:r w:rsidRPr="00DC2CE0">
        <w:rPr>
          <w:i/>
        </w:rPr>
        <w:t xml:space="preserve">b) </w:t>
      </w:r>
      <w:r w:rsidR="00EC6FD7" w:rsidRPr="00DC2CE0">
        <w:rPr>
          <w:i/>
        </w:rPr>
        <w:t>General principles concerning the obligation to conduct an effective investigation under Article 2</w:t>
      </w:r>
      <w:r w:rsidR="009012DE" w:rsidRPr="00DC2CE0">
        <w:rPr>
          <w:i/>
        </w:rPr>
        <w:t xml:space="preserve"> </w:t>
      </w:r>
    </w:p>
    <w:p w:rsidR="00EC6FD7" w:rsidRPr="00DC2CE0" w:rsidRDefault="00EC6FD7" w:rsidP="00EC6FD7">
      <w:pPr>
        <w:pStyle w:val="ListParagraph"/>
      </w:pPr>
    </w:p>
    <w:p w:rsidR="00EC6FD7" w:rsidRPr="00DC2CE0" w:rsidRDefault="00EC6FD7" w:rsidP="006C6843">
      <w:pPr>
        <w:numPr>
          <w:ilvl w:val="0"/>
          <w:numId w:val="2"/>
        </w:numPr>
        <w:suppressAutoHyphens/>
        <w:autoSpaceDE w:val="0"/>
        <w:jc w:val="both"/>
      </w:pPr>
      <w:r w:rsidRPr="00DC2CE0">
        <w:t xml:space="preserve">First, the Panel considers that </w:t>
      </w:r>
      <w:r w:rsidR="009012DE" w:rsidRPr="00DC2CE0">
        <w:t xml:space="preserve">the </w:t>
      </w:r>
      <w:r w:rsidR="0058721F" w:rsidRPr="00DC2CE0">
        <w:t>limited content</w:t>
      </w:r>
      <w:r w:rsidR="009012DE" w:rsidRPr="00DC2CE0">
        <w:t xml:space="preserve"> of</w:t>
      </w:r>
      <w:r w:rsidR="0058721F" w:rsidRPr="00DC2CE0">
        <w:t xml:space="preserve"> the</w:t>
      </w:r>
      <w:r w:rsidR="009012DE" w:rsidRPr="00DC2CE0">
        <w:t xml:space="preserve"> </w:t>
      </w:r>
      <w:r w:rsidRPr="00DC2CE0">
        <w:t>investigative files</w:t>
      </w:r>
      <w:r w:rsidR="009012DE" w:rsidRPr="00DC2CE0">
        <w:t>, in particular in the light of the SRSG’s argument</w:t>
      </w:r>
      <w:r w:rsidR="00933188" w:rsidRPr="00DC2CE0">
        <w:t xml:space="preserve"> that</w:t>
      </w:r>
      <w:r w:rsidR="00F83F9C" w:rsidRPr="00DC2CE0">
        <w:t>, for this reason,</w:t>
      </w:r>
      <w:r w:rsidR="00933188" w:rsidRPr="00DC2CE0">
        <w:t xml:space="preserve"> it is</w:t>
      </w:r>
      <w:r w:rsidR="009012DE" w:rsidRPr="00DC2CE0">
        <w:t xml:space="preserve"> not possible to ascertain whether there was a failure by UNMIK</w:t>
      </w:r>
      <w:r w:rsidR="007B04C4" w:rsidRPr="00DC2CE0">
        <w:t xml:space="preserve"> to conduct an effective investigation</w:t>
      </w:r>
      <w:r w:rsidR="00667F2B" w:rsidRPr="00DC2CE0">
        <w:t xml:space="preserve"> into the case of </w:t>
      </w:r>
      <w:r w:rsidR="00643DBA" w:rsidRPr="00DC2CE0">
        <w:t xml:space="preserve">Mr </w:t>
      </w:r>
      <w:proofErr w:type="spellStart"/>
      <w:r w:rsidR="00643DBA" w:rsidRPr="00DC2CE0">
        <w:t>Pavić</w:t>
      </w:r>
      <w:proofErr w:type="spellEnd"/>
      <w:r w:rsidR="00933188" w:rsidRPr="00DC2CE0">
        <w:t>,</w:t>
      </w:r>
      <w:r w:rsidRPr="00DC2CE0">
        <w:t xml:space="preserve">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11" w:name="_Ref342296805"/>
      <w:bookmarkEnd w:id="10"/>
    </w:p>
    <w:p w:rsidR="00EC6FD7" w:rsidRPr="00DC2CE0" w:rsidRDefault="00EC6FD7" w:rsidP="00EC6FD7">
      <w:pPr>
        <w:suppressAutoHyphens/>
        <w:autoSpaceDE w:val="0"/>
        <w:ind w:left="360"/>
        <w:jc w:val="both"/>
      </w:pPr>
    </w:p>
    <w:p w:rsidR="00EC6FD7" w:rsidRPr="00DC2CE0" w:rsidRDefault="00EC6FD7" w:rsidP="001707FB">
      <w:pPr>
        <w:numPr>
          <w:ilvl w:val="0"/>
          <w:numId w:val="2"/>
        </w:numPr>
        <w:suppressAutoHyphens/>
        <w:autoSpaceDE w:val="0"/>
        <w:jc w:val="both"/>
      </w:pPr>
      <w:r w:rsidRPr="00DC2CE0">
        <w:t xml:space="preserve">Following this general rule, at the admissibility stage an applicant must present facts, which are supportive of the allegations of the State’s responsibility, that is, to establish a </w:t>
      </w:r>
      <w:r w:rsidRPr="00DC2CE0">
        <w:rPr>
          <w:i/>
        </w:rPr>
        <w:t>prima facie</w:t>
      </w:r>
      <w:r w:rsidRPr="00DC2CE0">
        <w:t xml:space="preserve"> case against the authorities (see, </w:t>
      </w:r>
      <w:r w:rsidRPr="00DC2CE0">
        <w:rPr>
          <w:i/>
        </w:rPr>
        <w:t>mutatis mutandis</w:t>
      </w:r>
      <w:r w:rsidRPr="00DC2CE0">
        <w:t xml:space="preserve">, </w:t>
      </w:r>
      <w:proofErr w:type="spellStart"/>
      <w:r w:rsidRPr="00DC2CE0">
        <w:t>ECtHR</w:t>
      </w:r>
      <w:proofErr w:type="spellEnd"/>
      <w:r w:rsidRPr="00DC2CE0">
        <w:t xml:space="preserve">, </w:t>
      </w:r>
      <w:proofErr w:type="spellStart"/>
      <w:r w:rsidRPr="00DC2CE0">
        <w:rPr>
          <w:i/>
          <w:iCs/>
        </w:rPr>
        <w:t>Artico</w:t>
      </w:r>
      <w:proofErr w:type="spellEnd"/>
      <w:r w:rsidRPr="00DC2CE0">
        <w:rPr>
          <w:i/>
          <w:iCs/>
        </w:rPr>
        <w:t xml:space="preserve"> v. Italy</w:t>
      </w:r>
      <w:r w:rsidRPr="00DC2CE0">
        <w:t xml:space="preserve">, no. 6694/74, judgment of 13 May 1980, §§ 29-30, Series A no. 37; </w:t>
      </w:r>
      <w:proofErr w:type="spellStart"/>
      <w:r w:rsidRPr="00DC2CE0">
        <w:t>ECtHR</w:t>
      </w:r>
      <w:proofErr w:type="spellEnd"/>
      <w:r w:rsidRPr="00DC2CE0">
        <w:t xml:space="preserve">, </w:t>
      </w:r>
      <w:proofErr w:type="spellStart"/>
      <w:r w:rsidRPr="00DC2CE0">
        <w:rPr>
          <w:i/>
        </w:rPr>
        <w:t>Toğcu</w:t>
      </w:r>
      <w:proofErr w:type="spellEnd"/>
      <w:r w:rsidRPr="00DC2CE0">
        <w:rPr>
          <w:i/>
        </w:rPr>
        <w:t xml:space="preserve"> v. Turkey</w:t>
      </w:r>
      <w:r w:rsidRPr="00DC2CE0">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DC2CE0">
        <w:t>ECtHR</w:t>
      </w:r>
      <w:proofErr w:type="spellEnd"/>
      <w:r w:rsidRPr="00DC2CE0">
        <w:t xml:space="preserve"> [GC], </w:t>
      </w:r>
      <w:proofErr w:type="spellStart"/>
      <w:r w:rsidRPr="00DC2CE0">
        <w:rPr>
          <w:i/>
          <w:iCs/>
        </w:rPr>
        <w:t>Varnava</w:t>
      </w:r>
      <w:proofErr w:type="spellEnd"/>
      <w:r w:rsidRPr="00DC2CE0">
        <w:rPr>
          <w:i/>
          <w:iCs/>
        </w:rPr>
        <w:t xml:space="preserve"> and Others v Turkey</w:t>
      </w:r>
      <w:r w:rsidRPr="00DC2CE0">
        <w:rPr>
          <w:iCs/>
        </w:rPr>
        <w:t>,</w:t>
      </w:r>
      <w:r w:rsidRPr="00DC2CE0">
        <w:rPr>
          <w:i/>
          <w:iCs/>
        </w:rPr>
        <w:t xml:space="preserve"> </w:t>
      </w:r>
      <w:r w:rsidRPr="00DC2CE0">
        <w:t xml:space="preserve">cited above in § </w:t>
      </w:r>
      <w:r w:rsidR="000D3FCD" w:rsidRPr="00DC2CE0">
        <w:t>51</w:t>
      </w:r>
      <w:r w:rsidRPr="00DC2CE0">
        <w:t>, at §§ 183-184).</w:t>
      </w:r>
      <w:bookmarkStart w:id="12" w:name="_Ref354502773"/>
      <w:bookmarkEnd w:id="11"/>
    </w:p>
    <w:p w:rsidR="00EC6FD7" w:rsidRPr="00DC2CE0" w:rsidRDefault="00EC6FD7" w:rsidP="00EC6FD7">
      <w:pPr>
        <w:pStyle w:val="ListParagraph"/>
      </w:pPr>
    </w:p>
    <w:p w:rsidR="00EC6FD7" w:rsidRPr="00DC2CE0" w:rsidRDefault="00EC6FD7" w:rsidP="001707FB">
      <w:pPr>
        <w:numPr>
          <w:ilvl w:val="0"/>
          <w:numId w:val="2"/>
        </w:numPr>
        <w:suppressAutoHyphens/>
        <w:autoSpaceDE w:val="0"/>
        <w:jc w:val="both"/>
      </w:pPr>
      <w:r w:rsidRPr="00DC2CE0">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DC2CE0">
        <w:t>ECtHR</w:t>
      </w:r>
      <w:proofErr w:type="spellEnd"/>
      <w:r w:rsidRPr="00DC2CE0">
        <w:t xml:space="preserve">, </w:t>
      </w:r>
      <w:proofErr w:type="spellStart"/>
      <w:r w:rsidRPr="00DC2CE0">
        <w:rPr>
          <w:i/>
          <w:iCs/>
        </w:rPr>
        <w:t>Akkum</w:t>
      </w:r>
      <w:proofErr w:type="spellEnd"/>
      <w:r w:rsidRPr="00DC2CE0">
        <w:rPr>
          <w:i/>
          <w:iCs/>
        </w:rPr>
        <w:t xml:space="preserve"> and Others v. Turkey</w:t>
      </w:r>
      <w:r w:rsidRPr="00DC2CE0">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DC2CE0">
        <w:t>ECtHR</w:t>
      </w:r>
      <w:proofErr w:type="spellEnd"/>
      <w:r w:rsidRPr="00DC2CE0">
        <w:t xml:space="preserve">, </w:t>
      </w:r>
      <w:proofErr w:type="spellStart"/>
      <w:r w:rsidRPr="00DC2CE0">
        <w:rPr>
          <w:i/>
          <w:iCs/>
        </w:rPr>
        <w:t>Varnava</w:t>
      </w:r>
      <w:proofErr w:type="spellEnd"/>
      <w:r w:rsidRPr="00DC2CE0">
        <w:rPr>
          <w:i/>
          <w:iCs/>
        </w:rPr>
        <w:t xml:space="preserve"> and Others v Turkey</w:t>
      </w:r>
      <w:r w:rsidRPr="00DC2CE0">
        <w:rPr>
          <w:iCs/>
        </w:rPr>
        <w:t xml:space="preserve"> [GC],</w:t>
      </w:r>
      <w:r w:rsidRPr="00DC2CE0">
        <w:rPr>
          <w:i/>
          <w:iCs/>
        </w:rPr>
        <w:t xml:space="preserve"> </w:t>
      </w:r>
      <w:r w:rsidRPr="00DC2CE0">
        <w:t xml:space="preserve">cited above in § </w:t>
      </w:r>
      <w:r w:rsidR="000D3FCD" w:rsidRPr="00DC2CE0">
        <w:t>51</w:t>
      </w:r>
      <w:r w:rsidRPr="00DC2CE0">
        <w:t>, at § 184; see also, HRC,</w:t>
      </w:r>
      <w:r w:rsidRPr="00DC2CE0">
        <w:rPr>
          <w:i/>
        </w:rPr>
        <w:t xml:space="preserve"> </w:t>
      </w:r>
      <w:proofErr w:type="spellStart"/>
      <w:r w:rsidRPr="00DC2CE0">
        <w:rPr>
          <w:i/>
        </w:rPr>
        <w:t>Benaniza</w:t>
      </w:r>
      <w:proofErr w:type="spellEnd"/>
      <w:r w:rsidRPr="00DC2CE0">
        <w:rPr>
          <w:i/>
        </w:rPr>
        <w:t xml:space="preserve"> v Algeria,</w:t>
      </w:r>
      <w:r w:rsidRPr="00DC2CE0">
        <w:t xml:space="preserve"> Views of 26 July 2010, § 9.4, CCPR/C/99/D/1588/2007; HRC,</w:t>
      </w:r>
      <w:r w:rsidRPr="00DC2CE0">
        <w:rPr>
          <w:i/>
        </w:rPr>
        <w:t xml:space="preserve"> </w:t>
      </w:r>
      <w:proofErr w:type="spellStart"/>
      <w:r w:rsidRPr="00DC2CE0">
        <w:rPr>
          <w:i/>
        </w:rPr>
        <w:t>Bashasha</w:t>
      </w:r>
      <w:proofErr w:type="spellEnd"/>
      <w:r w:rsidRPr="00DC2CE0">
        <w:rPr>
          <w:i/>
        </w:rPr>
        <w:t xml:space="preserve"> v. Libyan Arab Jamahiriya</w:t>
      </w:r>
      <w:r w:rsidRPr="00DC2CE0">
        <w:t>, Views of 20 October 2010, § 7.2, CCPR/C/100/D/1776/2008).</w:t>
      </w:r>
      <w:bookmarkStart w:id="13" w:name="_Ref354409930"/>
      <w:bookmarkEnd w:id="12"/>
    </w:p>
    <w:p w:rsidR="00EC6FD7" w:rsidRPr="00DC2CE0" w:rsidRDefault="00EC6FD7" w:rsidP="00EC6FD7">
      <w:pPr>
        <w:pStyle w:val="ListParagraph"/>
      </w:pPr>
    </w:p>
    <w:p w:rsidR="00EC6FD7" w:rsidRPr="00DC2CE0" w:rsidRDefault="00EC6FD7" w:rsidP="001707FB">
      <w:pPr>
        <w:numPr>
          <w:ilvl w:val="0"/>
          <w:numId w:val="2"/>
        </w:numPr>
        <w:suppressAutoHyphens/>
        <w:autoSpaceDE w:val="0"/>
        <w:jc w:val="both"/>
      </w:pPr>
      <w:r w:rsidRPr="00DC2CE0">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Start w:id="14" w:name="_Ref348539776"/>
      <w:bookmarkEnd w:id="13"/>
    </w:p>
    <w:p w:rsidR="00EC6FD7" w:rsidRPr="00DC2CE0" w:rsidRDefault="00EC6FD7" w:rsidP="00EC6FD7">
      <w:pPr>
        <w:pStyle w:val="ListParagraph"/>
      </w:pPr>
    </w:p>
    <w:p w:rsidR="00EC6FD7" w:rsidRPr="00DC2CE0" w:rsidRDefault="00EC6FD7" w:rsidP="001707FB">
      <w:pPr>
        <w:numPr>
          <w:ilvl w:val="0"/>
          <w:numId w:val="2"/>
        </w:numPr>
        <w:suppressAutoHyphens/>
        <w:autoSpaceDE w:val="0"/>
        <w:jc w:val="both"/>
      </w:pPr>
      <w:r w:rsidRPr="00DC2CE0">
        <w:t xml:space="preserve">Second, the Panel notes that the positive obligation to investigate disappearances is widely accepted in international human rights law since at least the case of the Inter-American Court of Human Rights </w:t>
      </w:r>
      <w:proofErr w:type="spellStart"/>
      <w:r w:rsidRPr="00DC2CE0">
        <w:rPr>
          <w:i/>
        </w:rPr>
        <w:t>Velásquez</w:t>
      </w:r>
      <w:proofErr w:type="spellEnd"/>
      <w:r w:rsidRPr="00DC2CE0">
        <w:rPr>
          <w:i/>
        </w:rPr>
        <w:t xml:space="preserve">-Rodríguez </w:t>
      </w:r>
      <w:r w:rsidRPr="00DC2CE0">
        <w:t>(see Inter-American Court of Human Rights (</w:t>
      </w:r>
      <w:proofErr w:type="spellStart"/>
      <w:r w:rsidRPr="00DC2CE0">
        <w:t>IACtHR</w:t>
      </w:r>
      <w:proofErr w:type="spellEnd"/>
      <w:r w:rsidRPr="00DC2CE0">
        <w:t xml:space="preserve">), </w:t>
      </w:r>
      <w:proofErr w:type="spellStart"/>
      <w:r w:rsidRPr="00DC2CE0">
        <w:rPr>
          <w:i/>
        </w:rPr>
        <w:t>Velásquez</w:t>
      </w:r>
      <w:proofErr w:type="spellEnd"/>
      <w:r w:rsidRPr="00DC2CE0">
        <w:rPr>
          <w:i/>
        </w:rPr>
        <w:t>-Rodríguez v. Honduras</w:t>
      </w:r>
      <w:r w:rsidRPr="00DC2CE0">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International Covenant on Civil and Political Rights (CCPR) (see HRC, General Comment No. 6, 30 April 1982, § 4; HRC, General Comment No. 31, 26 May 2004, §§ 8 and 18, CCPR/C/21/Rev.1/Add. 13; see also, among others, HRC, </w:t>
      </w:r>
      <w:r w:rsidRPr="00DC2CE0">
        <w:rPr>
          <w:i/>
        </w:rPr>
        <w:t xml:space="preserve">Mohamed El </w:t>
      </w:r>
      <w:proofErr w:type="spellStart"/>
      <w:r w:rsidRPr="00DC2CE0">
        <w:rPr>
          <w:i/>
        </w:rPr>
        <w:t>Awani</w:t>
      </w:r>
      <w:proofErr w:type="spellEnd"/>
      <w:r w:rsidRPr="00DC2CE0">
        <w:rPr>
          <w:i/>
        </w:rPr>
        <w:t>, v. Libyan Arab Jamahiriya</w:t>
      </w:r>
      <w:r w:rsidRPr="00DC2CE0">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15" w:name="_Ref347561805"/>
      <w:bookmarkEnd w:id="14"/>
    </w:p>
    <w:p w:rsidR="00EC6FD7" w:rsidRPr="00DC2CE0" w:rsidRDefault="00EC6FD7" w:rsidP="00EC6FD7">
      <w:pPr>
        <w:suppressAutoHyphens/>
        <w:autoSpaceDE w:val="0"/>
        <w:ind w:left="360"/>
        <w:jc w:val="both"/>
      </w:pPr>
    </w:p>
    <w:p w:rsidR="00EC6FD7" w:rsidRPr="00DC2CE0" w:rsidRDefault="00EC6FD7" w:rsidP="001707FB">
      <w:pPr>
        <w:numPr>
          <w:ilvl w:val="0"/>
          <w:numId w:val="2"/>
        </w:numPr>
        <w:suppressAutoHyphens/>
        <w:autoSpaceDE w:val="0"/>
        <w:jc w:val="both"/>
      </w:pPr>
      <w:r w:rsidRPr="00DC2CE0">
        <w:t>In order to address the complainant</w:t>
      </w:r>
      <w:r w:rsidR="00F83F9C" w:rsidRPr="00DC2CE0">
        <w:t>s’</w:t>
      </w:r>
      <w:r w:rsidRPr="00DC2CE0">
        <w:t xml:space="preserve"> allegations, the Panel refers, in particular, to the well-established case 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C2CE0">
        <w:rPr>
          <w:i/>
        </w:rPr>
        <w:t>mutatis mutandis</w:t>
      </w:r>
      <w:r w:rsidRPr="00DC2CE0">
        <w:t xml:space="preserve">, </w:t>
      </w:r>
      <w:proofErr w:type="spellStart"/>
      <w:r w:rsidRPr="00DC2CE0">
        <w:t>ECtHR</w:t>
      </w:r>
      <w:proofErr w:type="spellEnd"/>
      <w:r w:rsidRPr="00DC2CE0">
        <w:t xml:space="preserve">, </w:t>
      </w:r>
      <w:r w:rsidRPr="00DC2CE0">
        <w:rPr>
          <w:i/>
        </w:rPr>
        <w:t>McCann and Others v. the United Kingdom</w:t>
      </w:r>
      <w:r w:rsidRPr="00DC2CE0">
        <w:t xml:space="preserve">, judgment of 27 September 1995, § 161, Series A no. 324; and </w:t>
      </w:r>
      <w:proofErr w:type="spellStart"/>
      <w:r w:rsidRPr="00DC2CE0">
        <w:t>ECtHR</w:t>
      </w:r>
      <w:proofErr w:type="spellEnd"/>
      <w:r w:rsidRPr="00DC2CE0">
        <w:t xml:space="preserve">, </w:t>
      </w:r>
      <w:r w:rsidRPr="00DC2CE0">
        <w:rPr>
          <w:i/>
        </w:rPr>
        <w:t>Kaya v. Turkey</w:t>
      </w:r>
      <w:r w:rsidRPr="00DC2CE0">
        <w:t xml:space="preserve">, judgment of 19 February 1998, § 105, Reports 1998-I; see also </w:t>
      </w:r>
      <w:proofErr w:type="spellStart"/>
      <w:r w:rsidRPr="00DC2CE0">
        <w:t>ECtHR</w:t>
      </w:r>
      <w:proofErr w:type="spellEnd"/>
      <w:r w:rsidRPr="00DC2CE0">
        <w:t xml:space="preserve">, </w:t>
      </w:r>
      <w:proofErr w:type="spellStart"/>
      <w:r w:rsidRPr="00DC2CE0">
        <w:rPr>
          <w:i/>
        </w:rPr>
        <w:t>Jasinskis</w:t>
      </w:r>
      <w:proofErr w:type="spellEnd"/>
      <w:r w:rsidRPr="00DC2CE0">
        <w:rPr>
          <w:i/>
        </w:rPr>
        <w:t xml:space="preserve"> v. Latvia</w:t>
      </w:r>
      <w:r w:rsidRPr="00DC2CE0">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DC2CE0">
        <w:t>ECtHR</w:t>
      </w:r>
      <w:proofErr w:type="spellEnd"/>
      <w:r w:rsidRPr="00DC2CE0">
        <w:t xml:space="preserve">, </w:t>
      </w:r>
      <w:proofErr w:type="spellStart"/>
      <w:r w:rsidRPr="00DC2CE0">
        <w:rPr>
          <w:i/>
        </w:rPr>
        <w:t>Kolevi</w:t>
      </w:r>
      <w:proofErr w:type="spellEnd"/>
      <w:r w:rsidRPr="00DC2CE0">
        <w:rPr>
          <w:i/>
        </w:rPr>
        <w:t xml:space="preserve"> v. Bulgaria</w:t>
      </w:r>
      <w:r w:rsidRPr="00DC2CE0">
        <w:t>, no. 1108/02, judgment of 5 November 2009, § 191).</w:t>
      </w:r>
      <w:bookmarkEnd w:id="15"/>
    </w:p>
    <w:p w:rsidR="00EC6FD7" w:rsidRPr="00DC2CE0" w:rsidRDefault="00EC6FD7" w:rsidP="00EC6FD7">
      <w:pPr>
        <w:suppressAutoHyphens/>
        <w:autoSpaceDE w:val="0"/>
        <w:ind w:left="360"/>
        <w:jc w:val="both"/>
      </w:pPr>
    </w:p>
    <w:p w:rsidR="00EC6FD7" w:rsidRPr="00DC2CE0" w:rsidRDefault="00EC6FD7" w:rsidP="001707FB">
      <w:pPr>
        <w:numPr>
          <w:ilvl w:val="0"/>
          <w:numId w:val="2"/>
        </w:numPr>
        <w:suppressAutoHyphens/>
        <w:autoSpaceDE w:val="0"/>
        <w:jc w:val="both"/>
      </w:pPr>
      <w:r w:rsidRPr="00DC2CE0">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DC2CE0">
        <w:t>ECtHR</w:t>
      </w:r>
      <w:proofErr w:type="spellEnd"/>
      <w:r w:rsidRPr="00DC2CE0">
        <w:t xml:space="preserve"> [GC], </w:t>
      </w:r>
      <w:proofErr w:type="spellStart"/>
      <w:r w:rsidRPr="00DC2CE0">
        <w:rPr>
          <w:i/>
        </w:rPr>
        <w:t>Varnava</w:t>
      </w:r>
      <w:proofErr w:type="spellEnd"/>
      <w:r w:rsidRPr="00DC2CE0">
        <w:rPr>
          <w:i/>
        </w:rPr>
        <w:t xml:space="preserve"> and Others v. Turkey</w:t>
      </w:r>
      <w:r w:rsidRPr="00DC2CE0">
        <w:t xml:space="preserve">, cited in § </w:t>
      </w:r>
      <w:r w:rsidR="000D3FCD" w:rsidRPr="00DC2CE0">
        <w:t>51</w:t>
      </w:r>
      <w:r w:rsidRPr="00DC2CE0">
        <w:t xml:space="preserve"> above, at § 136).</w:t>
      </w:r>
      <w:bookmarkStart w:id="16" w:name="_Ref346721519"/>
    </w:p>
    <w:p w:rsidR="00EC6FD7" w:rsidRPr="00DC2CE0" w:rsidRDefault="00EC6FD7" w:rsidP="00EC6FD7">
      <w:pPr>
        <w:pStyle w:val="ListParagraph"/>
      </w:pPr>
    </w:p>
    <w:p w:rsidR="00EC6FD7" w:rsidRPr="00DC2CE0" w:rsidRDefault="00EC6FD7" w:rsidP="001707FB">
      <w:pPr>
        <w:numPr>
          <w:ilvl w:val="0"/>
          <w:numId w:val="2"/>
        </w:numPr>
        <w:suppressAutoHyphens/>
        <w:autoSpaceDE w:val="0"/>
        <w:jc w:val="both"/>
      </w:pPr>
      <w:r w:rsidRPr="00DC2CE0">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DC2CE0">
        <w:t>ECtHR</w:t>
      </w:r>
      <w:proofErr w:type="spellEnd"/>
      <w:r w:rsidRPr="00DC2CE0">
        <w:t xml:space="preserve">, </w:t>
      </w:r>
      <w:proofErr w:type="spellStart"/>
      <w:r w:rsidRPr="00DC2CE0">
        <w:rPr>
          <w:i/>
        </w:rPr>
        <w:t>Ahmet</w:t>
      </w:r>
      <w:proofErr w:type="spellEnd"/>
      <w:r w:rsidRPr="00DC2CE0">
        <w:rPr>
          <w:i/>
        </w:rPr>
        <w:t xml:space="preserve"> </w:t>
      </w:r>
      <w:proofErr w:type="spellStart"/>
      <w:r w:rsidRPr="00DC2CE0">
        <w:rPr>
          <w:i/>
        </w:rPr>
        <w:t>Özkan</w:t>
      </w:r>
      <w:proofErr w:type="spellEnd"/>
      <w:r w:rsidRPr="00DC2CE0">
        <w:rPr>
          <w:i/>
        </w:rPr>
        <w:t xml:space="preserve"> and Others v. Turkey</w:t>
      </w:r>
      <w:r w:rsidRPr="00DC2CE0">
        <w:t xml:space="preserve">, no. 21689/93, judgment of 6 April 2004, § 310, see also </w:t>
      </w:r>
      <w:proofErr w:type="spellStart"/>
      <w:r w:rsidRPr="00DC2CE0">
        <w:t>ECtHR</w:t>
      </w:r>
      <w:proofErr w:type="spellEnd"/>
      <w:r w:rsidRPr="00DC2CE0">
        <w:t xml:space="preserve">, </w:t>
      </w:r>
      <w:proofErr w:type="spellStart"/>
      <w:r w:rsidRPr="00DC2CE0">
        <w:rPr>
          <w:i/>
        </w:rPr>
        <w:t>Isayeva</w:t>
      </w:r>
      <w:proofErr w:type="spellEnd"/>
      <w:r w:rsidRPr="00DC2CE0">
        <w:rPr>
          <w:i/>
        </w:rPr>
        <w:t xml:space="preserve"> v. Russia</w:t>
      </w:r>
      <w:r w:rsidRPr="00DC2CE0">
        <w:t>, no. 57950/00, judgment of 24 February 2005, § 210).</w:t>
      </w:r>
      <w:bookmarkEnd w:id="16"/>
      <w:r w:rsidRPr="00DC2CE0">
        <w:t xml:space="preserve"> </w:t>
      </w:r>
      <w:bookmarkStart w:id="17" w:name="_Ref346724174"/>
    </w:p>
    <w:p w:rsidR="00EC6FD7" w:rsidRPr="00DC2CE0" w:rsidRDefault="00EC6FD7" w:rsidP="00EC6FD7">
      <w:pPr>
        <w:pStyle w:val="ListParagraph"/>
      </w:pPr>
    </w:p>
    <w:p w:rsidR="00EC6FD7" w:rsidRPr="00DC2CE0" w:rsidRDefault="00EC6FD7" w:rsidP="001707FB">
      <w:pPr>
        <w:numPr>
          <w:ilvl w:val="0"/>
          <w:numId w:val="2"/>
        </w:numPr>
        <w:suppressAutoHyphens/>
        <w:autoSpaceDE w:val="0"/>
        <w:jc w:val="both"/>
      </w:pPr>
      <w:r w:rsidRPr="00DC2CE0">
        <w:t>Setting out the standards of an effective investigation, the Court has stated that “</w:t>
      </w:r>
      <w:proofErr w:type="spellStart"/>
      <w:r w:rsidRPr="00DC2CE0">
        <w:t>beside</w:t>
      </w:r>
      <w:proofErr w:type="spellEnd"/>
      <w:r w:rsidRPr="00DC2CE0">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DC2CE0">
        <w:t>ECtHR</w:t>
      </w:r>
      <w:proofErr w:type="spellEnd"/>
      <w:r w:rsidRPr="00DC2CE0">
        <w:t xml:space="preserve"> [GC]</w:t>
      </w:r>
      <w:r w:rsidRPr="00DC2CE0">
        <w:rPr>
          <w:i/>
        </w:rPr>
        <w:t xml:space="preserve">, </w:t>
      </w:r>
      <w:proofErr w:type="spellStart"/>
      <w:r w:rsidRPr="00DC2CE0">
        <w:rPr>
          <w:i/>
        </w:rPr>
        <w:t>Varnava</w:t>
      </w:r>
      <w:proofErr w:type="spellEnd"/>
      <w:r w:rsidRPr="00DC2CE0">
        <w:rPr>
          <w:i/>
        </w:rPr>
        <w:t xml:space="preserve"> and Others v. Turkey</w:t>
      </w:r>
      <w:r w:rsidRPr="00DC2CE0">
        <w:t xml:space="preserve">, cited in § </w:t>
      </w:r>
      <w:r w:rsidR="000D3FCD" w:rsidRPr="00DC2CE0">
        <w:t>51</w:t>
      </w:r>
      <w:r w:rsidRPr="00DC2CE0">
        <w:t xml:space="preserve"> above, at § 191; see also </w:t>
      </w:r>
      <w:proofErr w:type="spellStart"/>
      <w:r w:rsidRPr="00DC2CE0">
        <w:t>ECtHR</w:t>
      </w:r>
      <w:proofErr w:type="spellEnd"/>
      <w:r w:rsidRPr="00DC2CE0">
        <w:t xml:space="preserve">, </w:t>
      </w:r>
      <w:proofErr w:type="spellStart"/>
      <w:r w:rsidRPr="00DC2CE0">
        <w:rPr>
          <w:i/>
        </w:rPr>
        <w:t>Palić</w:t>
      </w:r>
      <w:proofErr w:type="spellEnd"/>
      <w:r w:rsidRPr="00DC2CE0">
        <w:rPr>
          <w:i/>
        </w:rPr>
        <w:t xml:space="preserve"> v. Bosnia and Herzegovina</w:t>
      </w:r>
      <w:r w:rsidRPr="00DC2CE0">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DC2CE0">
        <w:t>ECtHR</w:t>
      </w:r>
      <w:proofErr w:type="spellEnd"/>
      <w:r w:rsidRPr="00DC2CE0">
        <w:t xml:space="preserve">, </w:t>
      </w:r>
      <w:proofErr w:type="spellStart"/>
      <w:r w:rsidRPr="00DC2CE0">
        <w:rPr>
          <w:i/>
        </w:rPr>
        <w:t>Ahmet</w:t>
      </w:r>
      <w:proofErr w:type="spellEnd"/>
      <w:r w:rsidRPr="00DC2CE0">
        <w:rPr>
          <w:i/>
        </w:rPr>
        <w:t xml:space="preserve"> </w:t>
      </w:r>
      <w:proofErr w:type="spellStart"/>
      <w:r w:rsidRPr="00DC2CE0">
        <w:rPr>
          <w:i/>
        </w:rPr>
        <w:t>Özkan</w:t>
      </w:r>
      <w:proofErr w:type="spellEnd"/>
      <w:r w:rsidRPr="00DC2CE0">
        <w:rPr>
          <w:i/>
        </w:rPr>
        <w:t xml:space="preserve"> and Others v. Turkey</w:t>
      </w:r>
      <w:r w:rsidRPr="00DC2CE0">
        <w:t>, cited above, at § 312; and</w:t>
      </w:r>
      <w:r w:rsidRPr="00DC2CE0">
        <w:rPr>
          <w:i/>
        </w:rPr>
        <w:t xml:space="preserve"> </w:t>
      </w:r>
      <w:proofErr w:type="spellStart"/>
      <w:r w:rsidRPr="00DC2CE0">
        <w:rPr>
          <w:i/>
        </w:rPr>
        <w:t>Isayeva</w:t>
      </w:r>
      <w:proofErr w:type="spellEnd"/>
      <w:r w:rsidRPr="00DC2CE0">
        <w:rPr>
          <w:i/>
        </w:rPr>
        <w:t xml:space="preserve"> v. Russia</w:t>
      </w:r>
      <w:r w:rsidRPr="00DC2CE0">
        <w:t>, cited above, at § 212).</w:t>
      </w:r>
      <w:bookmarkEnd w:id="17"/>
    </w:p>
    <w:p w:rsidR="00EC6FD7" w:rsidRPr="00DC2CE0" w:rsidRDefault="00EC6FD7" w:rsidP="00EC6FD7">
      <w:pPr>
        <w:suppressAutoHyphens/>
        <w:autoSpaceDE w:val="0"/>
        <w:ind w:left="360"/>
        <w:jc w:val="both"/>
      </w:pPr>
    </w:p>
    <w:p w:rsidR="00EC6FD7" w:rsidRPr="00DC2CE0" w:rsidRDefault="00EC6FD7" w:rsidP="001707FB">
      <w:pPr>
        <w:numPr>
          <w:ilvl w:val="0"/>
          <w:numId w:val="2"/>
        </w:numPr>
        <w:suppressAutoHyphens/>
        <w:autoSpaceDE w:val="0"/>
        <w:jc w:val="both"/>
      </w:pPr>
      <w:r w:rsidRPr="00DC2CE0">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DC2CE0">
        <w:t>ECtHR</w:t>
      </w:r>
      <w:proofErr w:type="spellEnd"/>
      <w:r w:rsidRPr="00DC2CE0">
        <w:t xml:space="preserve">, </w:t>
      </w:r>
      <w:proofErr w:type="spellStart"/>
      <w:r w:rsidRPr="00DC2CE0">
        <w:rPr>
          <w:i/>
        </w:rPr>
        <w:t>Kolevi</w:t>
      </w:r>
      <w:proofErr w:type="spellEnd"/>
      <w:r w:rsidRPr="00DC2CE0">
        <w:rPr>
          <w:i/>
        </w:rPr>
        <w:t xml:space="preserve"> v. Bulgaria</w:t>
      </w:r>
      <w:r w:rsidRPr="00DC2CE0">
        <w:t xml:space="preserve">, cited in § </w:t>
      </w:r>
      <w:r w:rsidR="000D3FCD" w:rsidRPr="00DC2CE0">
        <w:t>70</w:t>
      </w:r>
      <w:r w:rsidRPr="00DC2CE0">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DC2CE0">
        <w:t>ECtHR</w:t>
      </w:r>
      <w:proofErr w:type="spellEnd"/>
      <w:r w:rsidRPr="00DC2CE0">
        <w:t xml:space="preserve">, </w:t>
      </w:r>
      <w:proofErr w:type="spellStart"/>
      <w:r w:rsidRPr="00DC2CE0">
        <w:rPr>
          <w:i/>
        </w:rPr>
        <w:t>Velcea</w:t>
      </w:r>
      <w:proofErr w:type="spellEnd"/>
      <w:r w:rsidRPr="00DC2CE0">
        <w:rPr>
          <w:i/>
        </w:rPr>
        <w:t xml:space="preserve"> and </w:t>
      </w:r>
      <w:proofErr w:type="spellStart"/>
      <w:r w:rsidRPr="00DC2CE0">
        <w:rPr>
          <w:i/>
        </w:rPr>
        <w:t>Mazăre</w:t>
      </w:r>
      <w:proofErr w:type="spellEnd"/>
      <w:r w:rsidRPr="00DC2CE0">
        <w:t xml:space="preserve"> </w:t>
      </w:r>
      <w:r w:rsidRPr="00DC2CE0">
        <w:rPr>
          <w:i/>
        </w:rPr>
        <w:t>v. Romania</w:t>
      </w:r>
      <w:r w:rsidRPr="00DC2CE0">
        <w:t xml:space="preserve">, no. 64301/01, judgment of 1 December 2009, § 105). </w:t>
      </w:r>
      <w:bookmarkStart w:id="18" w:name="_Ref342300077"/>
    </w:p>
    <w:p w:rsidR="00EC6FD7" w:rsidRPr="00DC2CE0" w:rsidRDefault="00EC6FD7" w:rsidP="00EC6FD7">
      <w:pPr>
        <w:pStyle w:val="ListParagraph"/>
      </w:pPr>
    </w:p>
    <w:p w:rsidR="00EC6FD7" w:rsidRPr="00DC2CE0" w:rsidRDefault="00EC6FD7" w:rsidP="001707FB">
      <w:pPr>
        <w:numPr>
          <w:ilvl w:val="0"/>
          <w:numId w:val="2"/>
        </w:numPr>
        <w:suppressAutoHyphens/>
        <w:autoSpaceDE w:val="0"/>
        <w:jc w:val="both"/>
      </w:pPr>
      <w:r w:rsidRPr="00DC2CE0">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DC2CE0">
        <w:t>ECtHR</w:t>
      </w:r>
      <w:proofErr w:type="spellEnd"/>
      <w:r w:rsidRPr="00DC2CE0">
        <w:t xml:space="preserve">, </w:t>
      </w:r>
      <w:proofErr w:type="spellStart"/>
      <w:r w:rsidRPr="00DC2CE0">
        <w:rPr>
          <w:i/>
        </w:rPr>
        <w:t>Palić</w:t>
      </w:r>
      <w:proofErr w:type="spellEnd"/>
      <w:r w:rsidRPr="00DC2CE0">
        <w:rPr>
          <w:i/>
        </w:rPr>
        <w:t xml:space="preserve"> v. Bosnia and Herzegovina</w:t>
      </w:r>
      <w:r w:rsidRPr="00DC2CE0">
        <w:t xml:space="preserve">, cited in § </w:t>
      </w:r>
      <w:r w:rsidR="000D3FCD" w:rsidRPr="00DC2CE0">
        <w:t>73</w:t>
      </w:r>
      <w:r w:rsidRPr="00DC2CE0">
        <w:t xml:space="preserve"> above, at § 46; in the same sense </w:t>
      </w:r>
      <w:proofErr w:type="spellStart"/>
      <w:r w:rsidRPr="00DC2CE0">
        <w:t>ECtHR</w:t>
      </w:r>
      <w:proofErr w:type="spellEnd"/>
      <w:r w:rsidRPr="00DC2CE0">
        <w:t xml:space="preserve"> [GC], </w:t>
      </w:r>
      <w:proofErr w:type="spellStart"/>
      <w:r w:rsidRPr="00DC2CE0">
        <w:rPr>
          <w:i/>
        </w:rPr>
        <w:t>Varnava</w:t>
      </w:r>
      <w:proofErr w:type="spellEnd"/>
      <w:r w:rsidRPr="00DC2CE0">
        <w:rPr>
          <w:i/>
        </w:rPr>
        <w:t xml:space="preserve"> and Others v. Turkey</w:t>
      </w:r>
      <w:r w:rsidRPr="00DC2CE0">
        <w:t xml:space="preserve">, cited in § </w:t>
      </w:r>
      <w:r w:rsidR="000D3FCD" w:rsidRPr="00DC2CE0">
        <w:t>51</w:t>
      </w:r>
      <w:r w:rsidRPr="00DC2CE0">
        <w:t xml:space="preserve"> above, at § 148, </w:t>
      </w:r>
      <w:proofErr w:type="spellStart"/>
      <w:r w:rsidRPr="00DC2CE0">
        <w:rPr>
          <w:i/>
        </w:rPr>
        <w:t>Aslakhanova</w:t>
      </w:r>
      <w:proofErr w:type="spellEnd"/>
      <w:r w:rsidRPr="00DC2CE0">
        <w:rPr>
          <w:i/>
        </w:rPr>
        <w:t xml:space="preserve"> and Others v. Russia</w:t>
      </w:r>
      <w:r w:rsidRPr="00DC2CE0">
        <w:t>, nos. 2944/06 and others, judgment of 18 December 2012, § 12</w:t>
      </w:r>
      <w:r w:rsidRPr="00DC2CE0">
        <w:rPr>
          <w:rFonts w:cs="CAGLHH+TimesNewRoman"/>
        </w:rPr>
        <w:t>2</w:t>
      </w:r>
      <w:r w:rsidRPr="00DC2CE0">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DC2CE0">
        <w:t>ECtHR</w:t>
      </w:r>
      <w:proofErr w:type="spellEnd"/>
      <w:r w:rsidRPr="00DC2CE0">
        <w:t xml:space="preserve">, </w:t>
      </w:r>
      <w:proofErr w:type="spellStart"/>
      <w:r w:rsidRPr="00DC2CE0">
        <w:rPr>
          <w:i/>
        </w:rPr>
        <w:t>Palić</w:t>
      </w:r>
      <w:proofErr w:type="spellEnd"/>
      <w:r w:rsidRPr="00DC2CE0">
        <w:rPr>
          <w:i/>
        </w:rPr>
        <w:t xml:space="preserve"> v. Bosnia and Herzegovina</w:t>
      </w:r>
      <w:r w:rsidRPr="00DC2CE0">
        <w:t xml:space="preserve">, cited above, at § </w:t>
      </w:r>
      <w:r w:rsidR="000D3FCD" w:rsidRPr="00DC2CE0">
        <w:t>73</w:t>
      </w:r>
      <w:r w:rsidRPr="00DC2CE0">
        <w:t xml:space="preserve">; in the same sense </w:t>
      </w:r>
      <w:proofErr w:type="spellStart"/>
      <w:r w:rsidRPr="00DC2CE0">
        <w:t>ECtHR</w:t>
      </w:r>
      <w:proofErr w:type="spellEnd"/>
      <w:r w:rsidRPr="00DC2CE0">
        <w:t xml:space="preserve"> [GC], </w:t>
      </w:r>
      <w:proofErr w:type="spellStart"/>
      <w:r w:rsidRPr="00DC2CE0">
        <w:rPr>
          <w:i/>
        </w:rPr>
        <w:t>Varnava</w:t>
      </w:r>
      <w:proofErr w:type="spellEnd"/>
      <w:r w:rsidRPr="00DC2CE0">
        <w:rPr>
          <w:i/>
        </w:rPr>
        <w:t xml:space="preserve"> and Others v. Turkey</w:t>
      </w:r>
      <w:r w:rsidRPr="00DC2CE0">
        <w:t xml:space="preserve">, cited in § </w:t>
      </w:r>
      <w:r w:rsidR="000D3FCD" w:rsidRPr="00DC2CE0">
        <w:t>51</w:t>
      </w:r>
      <w:r w:rsidRPr="00DC2CE0">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DC2CE0">
        <w:t>ECtHR</w:t>
      </w:r>
      <w:proofErr w:type="spellEnd"/>
      <w:r w:rsidRPr="00DC2CE0">
        <w:t xml:space="preserve">, </w:t>
      </w:r>
      <w:proofErr w:type="spellStart"/>
      <w:r w:rsidRPr="00DC2CE0">
        <w:rPr>
          <w:i/>
        </w:rPr>
        <w:t>Palić</w:t>
      </w:r>
      <w:proofErr w:type="spellEnd"/>
      <w:r w:rsidRPr="00DC2CE0">
        <w:rPr>
          <w:i/>
        </w:rPr>
        <w:t xml:space="preserve"> v. Bosnia and Herzegovina</w:t>
      </w:r>
      <w:r w:rsidRPr="00DC2CE0">
        <w:t xml:space="preserve">, cited above, at § </w:t>
      </w:r>
      <w:r w:rsidR="000D3FCD" w:rsidRPr="00DC2CE0">
        <w:t>73</w:t>
      </w:r>
      <w:r w:rsidRPr="00DC2CE0">
        <w:t>).</w:t>
      </w:r>
      <w:bookmarkStart w:id="19" w:name="_Ref347937166"/>
      <w:bookmarkStart w:id="20" w:name="_Ref348364879"/>
      <w:bookmarkEnd w:id="18"/>
    </w:p>
    <w:p w:rsidR="00EC6FD7" w:rsidRPr="00DC2CE0" w:rsidRDefault="00EC6FD7" w:rsidP="00EC6FD7">
      <w:pPr>
        <w:suppressAutoHyphens/>
        <w:autoSpaceDE w:val="0"/>
        <w:ind w:left="360"/>
        <w:jc w:val="both"/>
      </w:pPr>
    </w:p>
    <w:p w:rsidR="00EC6FD7" w:rsidRPr="00DC2CE0" w:rsidRDefault="00EC6FD7" w:rsidP="001707FB">
      <w:pPr>
        <w:numPr>
          <w:ilvl w:val="0"/>
          <w:numId w:val="2"/>
        </w:numPr>
        <w:suppressAutoHyphens/>
        <w:autoSpaceDE w:val="0"/>
        <w:jc w:val="both"/>
      </w:pPr>
      <w:r w:rsidRPr="00DC2CE0">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DC2CE0">
        <w:t>ECtHR</w:t>
      </w:r>
      <w:proofErr w:type="spellEnd"/>
      <w:r w:rsidRPr="00DC2CE0">
        <w:t xml:space="preserve">, </w:t>
      </w:r>
      <w:proofErr w:type="spellStart"/>
      <w:r w:rsidRPr="00DC2CE0">
        <w:rPr>
          <w:i/>
        </w:rPr>
        <w:t>Ahmet</w:t>
      </w:r>
      <w:proofErr w:type="spellEnd"/>
      <w:r w:rsidRPr="00DC2CE0">
        <w:rPr>
          <w:i/>
        </w:rPr>
        <w:t xml:space="preserve"> </w:t>
      </w:r>
      <w:proofErr w:type="spellStart"/>
      <w:r w:rsidRPr="00DC2CE0">
        <w:rPr>
          <w:i/>
        </w:rPr>
        <w:t>Özkan</w:t>
      </w:r>
      <w:proofErr w:type="spellEnd"/>
      <w:r w:rsidRPr="00DC2CE0">
        <w:rPr>
          <w:i/>
        </w:rPr>
        <w:t xml:space="preserve"> and Others</w:t>
      </w:r>
      <w:r w:rsidRPr="00DC2CE0">
        <w:t xml:space="preserve">, cited in § </w:t>
      </w:r>
      <w:r w:rsidR="000D3FCD" w:rsidRPr="00DC2CE0">
        <w:t>72</w:t>
      </w:r>
      <w:r w:rsidRPr="00DC2CE0">
        <w:t xml:space="preserve"> above, at §§ 311</w:t>
      </w:r>
      <w:r w:rsidRPr="00DC2CE0">
        <w:noBreakHyphen/>
        <w:t xml:space="preserve">314; </w:t>
      </w:r>
      <w:proofErr w:type="spellStart"/>
      <w:r w:rsidRPr="00DC2CE0">
        <w:t>ECtHR</w:t>
      </w:r>
      <w:proofErr w:type="spellEnd"/>
      <w:r w:rsidRPr="00DC2CE0">
        <w:t xml:space="preserve">, </w:t>
      </w:r>
      <w:proofErr w:type="spellStart"/>
      <w:r w:rsidRPr="00DC2CE0">
        <w:rPr>
          <w:i/>
        </w:rPr>
        <w:t>Isayeva</w:t>
      </w:r>
      <w:proofErr w:type="spellEnd"/>
      <w:r w:rsidRPr="00DC2CE0">
        <w:rPr>
          <w:i/>
        </w:rPr>
        <w:t xml:space="preserve"> v. Russia</w:t>
      </w:r>
      <w:r w:rsidRPr="00DC2CE0">
        <w:t xml:space="preserve">, cited in § </w:t>
      </w:r>
      <w:r w:rsidR="00673FB1" w:rsidRPr="00DC2CE0">
        <w:t>77</w:t>
      </w:r>
      <w:r w:rsidRPr="00DC2CE0">
        <w:t xml:space="preserve"> above, at §§ 211-214 and the cases cited therein; </w:t>
      </w:r>
      <w:proofErr w:type="spellStart"/>
      <w:r w:rsidRPr="00DC2CE0">
        <w:t>ECtHR</w:t>
      </w:r>
      <w:proofErr w:type="spellEnd"/>
      <w:r w:rsidRPr="00DC2CE0">
        <w:t xml:space="preserve"> [GC], </w:t>
      </w:r>
      <w:r w:rsidRPr="00DC2CE0">
        <w:rPr>
          <w:i/>
        </w:rPr>
        <w:t>Al-</w:t>
      </w:r>
      <w:proofErr w:type="spellStart"/>
      <w:r w:rsidRPr="00DC2CE0">
        <w:rPr>
          <w:i/>
        </w:rPr>
        <w:t>Skeini</w:t>
      </w:r>
      <w:proofErr w:type="spellEnd"/>
      <w:r w:rsidRPr="00DC2CE0">
        <w:rPr>
          <w:i/>
        </w:rPr>
        <w:t xml:space="preserve"> and Others v. the United Kingdom</w:t>
      </w:r>
      <w:r w:rsidRPr="00DC2CE0">
        <w:t>, judgment of 7 July 2011, no. 55721/07, § 167, ECHR 2011).</w:t>
      </w:r>
      <w:bookmarkEnd w:id="19"/>
      <w:bookmarkEnd w:id="20"/>
    </w:p>
    <w:p w:rsidR="00EC6FD7" w:rsidRPr="00DC2CE0" w:rsidRDefault="00EC6FD7" w:rsidP="00EC6FD7">
      <w:pPr>
        <w:pStyle w:val="ListParagraph"/>
      </w:pPr>
    </w:p>
    <w:p w:rsidR="00EC6FD7" w:rsidRPr="00DC2CE0" w:rsidRDefault="00AE57DF" w:rsidP="00AE57DF">
      <w:pPr>
        <w:pStyle w:val="MediumGrid1-Accent21"/>
        <w:suppressAutoHyphens w:val="0"/>
        <w:ind w:left="0"/>
        <w:contextualSpacing/>
        <w:jc w:val="both"/>
        <w:rPr>
          <w:i/>
          <w:lang w:val="en-GB" w:eastAsia="en-US"/>
        </w:rPr>
      </w:pPr>
      <w:r w:rsidRPr="00DC2CE0">
        <w:rPr>
          <w:i/>
          <w:lang w:val="en-GB" w:eastAsia="en-US"/>
        </w:rPr>
        <w:t xml:space="preserve">c) </w:t>
      </w:r>
      <w:r w:rsidR="00EC6FD7" w:rsidRPr="00DC2CE0">
        <w:rPr>
          <w:i/>
          <w:lang w:val="en-GB" w:eastAsia="en-US"/>
        </w:rPr>
        <w:t>Applicability of Article 2 to the Kosovo context</w:t>
      </w:r>
    </w:p>
    <w:p w:rsidR="00EC6FD7" w:rsidRPr="00DC2CE0" w:rsidRDefault="00EC6FD7" w:rsidP="00EC6FD7">
      <w:pPr>
        <w:pStyle w:val="MediumGrid1-Accent21"/>
        <w:rPr>
          <w:lang w:val="en-GB"/>
        </w:rPr>
      </w:pPr>
    </w:p>
    <w:p w:rsidR="00EC6FD7" w:rsidRPr="00DC2CE0" w:rsidRDefault="00EC6FD7" w:rsidP="001707FB">
      <w:pPr>
        <w:pStyle w:val="MediumGrid1-Accent21"/>
        <w:numPr>
          <w:ilvl w:val="0"/>
          <w:numId w:val="2"/>
        </w:numPr>
        <w:tabs>
          <w:tab w:val="left" w:pos="360"/>
        </w:tabs>
        <w:suppressAutoHyphens w:val="0"/>
        <w:contextualSpacing/>
        <w:jc w:val="both"/>
        <w:rPr>
          <w:lang w:val="en-GB" w:eastAsia="en-US"/>
        </w:rPr>
      </w:pPr>
      <w:bookmarkStart w:id="21" w:name="_Ref350958715"/>
      <w:r w:rsidRPr="00DC2CE0">
        <w:rPr>
          <w:lang w:val="en-GB" w:eastAsia="en-US"/>
        </w:rPr>
        <w:t xml:space="preserve">The Panel is conscious that the </w:t>
      </w:r>
      <w:r w:rsidR="004D789F" w:rsidRPr="00DC2CE0">
        <w:rPr>
          <w:lang w:val="en-GB" w:eastAsia="en-US"/>
        </w:rPr>
        <w:t>abduction</w:t>
      </w:r>
      <w:r w:rsidR="00F83F9C" w:rsidRPr="00DC2CE0">
        <w:rPr>
          <w:lang w:val="en-GB" w:eastAsia="en-US"/>
        </w:rPr>
        <w:t xml:space="preserve"> of </w:t>
      </w:r>
      <w:r w:rsidR="00643DBA" w:rsidRPr="00DC2CE0">
        <w:rPr>
          <w:lang w:val="en-GB"/>
        </w:rPr>
        <w:t xml:space="preserve">Mr </w:t>
      </w:r>
      <w:proofErr w:type="spellStart"/>
      <w:r w:rsidR="00643DBA" w:rsidRPr="00DC2CE0">
        <w:rPr>
          <w:lang w:val="en-GB"/>
        </w:rPr>
        <w:t>Pavić</w:t>
      </w:r>
      <w:proofErr w:type="spellEnd"/>
      <w:r w:rsidR="00643DBA" w:rsidRPr="00DC2CE0">
        <w:rPr>
          <w:lang w:val="en-GB"/>
        </w:rPr>
        <w:t xml:space="preserve"> </w:t>
      </w:r>
      <w:r w:rsidRPr="00DC2CE0">
        <w:rPr>
          <w:lang w:val="en-GB"/>
        </w:rPr>
        <w:t xml:space="preserve">occurred </w:t>
      </w:r>
      <w:r w:rsidR="00643DBA" w:rsidRPr="00DC2CE0">
        <w:rPr>
          <w:lang w:val="en-GB"/>
        </w:rPr>
        <w:t>during</w:t>
      </w:r>
      <w:r w:rsidRPr="00DC2CE0">
        <w:rPr>
          <w:lang w:val="en-GB"/>
        </w:rPr>
        <w:t xml:space="preserve"> the </w:t>
      </w:r>
      <w:r w:rsidR="00AB0FE5" w:rsidRPr="00DC2CE0">
        <w:rPr>
          <w:lang w:val="en-GB"/>
        </w:rPr>
        <w:t xml:space="preserve">initial stages of the </w:t>
      </w:r>
      <w:r w:rsidRPr="00DC2CE0">
        <w:rPr>
          <w:lang w:val="en-GB"/>
        </w:rPr>
        <w:t>deployment of UNMIK in Kosovo in the immediate aftermath of the armed conflict, when crime, violence and insecurity were rife.</w:t>
      </w:r>
      <w:bookmarkEnd w:id="21"/>
      <w:r w:rsidRPr="00DC2CE0">
        <w:rPr>
          <w:lang w:val="en-GB"/>
        </w:rPr>
        <w:t xml:space="preserve"> </w:t>
      </w:r>
    </w:p>
    <w:p w:rsidR="00EC6FD7" w:rsidRPr="00DC2CE0" w:rsidRDefault="00EC6FD7" w:rsidP="00EC6FD7">
      <w:pPr>
        <w:pStyle w:val="MediumGrid1-Accent21"/>
        <w:tabs>
          <w:tab w:val="left" w:pos="360"/>
        </w:tabs>
        <w:ind w:left="360" w:hanging="360"/>
        <w:jc w:val="both"/>
        <w:rPr>
          <w:lang w:val="en-GB" w:eastAsia="en-US"/>
        </w:rPr>
      </w:pPr>
    </w:p>
    <w:p w:rsidR="00EC6FD7" w:rsidRPr="00DC2CE0" w:rsidRDefault="00EC6FD7" w:rsidP="001707FB">
      <w:pPr>
        <w:pStyle w:val="MediumGrid1-Accent21"/>
        <w:numPr>
          <w:ilvl w:val="0"/>
          <w:numId w:val="2"/>
        </w:numPr>
        <w:tabs>
          <w:tab w:val="left" w:pos="360"/>
        </w:tabs>
        <w:suppressAutoHyphens w:val="0"/>
        <w:contextualSpacing/>
        <w:jc w:val="both"/>
        <w:rPr>
          <w:lang w:val="en-GB" w:eastAsia="en-US"/>
        </w:rPr>
      </w:pPr>
      <w:r w:rsidRPr="00DC2CE0">
        <w:rPr>
          <w:lang w:val="en-GB"/>
        </w:rPr>
        <w:t>On his part, the SRSG does not contest that UNMIK had a duty to investigate the present case</w:t>
      </w:r>
      <w:r w:rsidR="00BB54A4" w:rsidRPr="00DC2CE0">
        <w:rPr>
          <w:lang w:val="en-GB"/>
        </w:rPr>
        <w:t>s</w:t>
      </w:r>
      <w:r w:rsidRPr="00DC2CE0">
        <w:rPr>
          <w:lang w:val="en-GB"/>
        </w:rPr>
        <w:t xml:space="preserve"> under Article 2 of the ECHR. However, according to the SRSG, the unique circumstances pertaining to the Kosovo context and to UNMIK’s deployment in the first phase of its mission shall be taken into acc</w:t>
      </w:r>
      <w:r w:rsidR="00BB54A4" w:rsidRPr="00DC2CE0">
        <w:rPr>
          <w:lang w:val="en-GB"/>
        </w:rPr>
        <w:t>ount when assessing whether these</w:t>
      </w:r>
      <w:r w:rsidRPr="00DC2CE0">
        <w:rPr>
          <w:lang w:val="en-GB"/>
        </w:rPr>
        <w:t xml:space="preserve"> investigation</w:t>
      </w:r>
      <w:r w:rsidR="00BB54A4" w:rsidRPr="00DC2CE0">
        <w:rPr>
          <w:lang w:val="en-GB"/>
        </w:rPr>
        <w:t>s are</w:t>
      </w:r>
      <w:r w:rsidRPr="00DC2CE0">
        <w:rPr>
          <w:lang w:val="en-GB"/>
        </w:rPr>
        <w:t xml:space="preserve"> in compliance with Article 2 of the ECHR. In substance, the SRSG argues that it is not possible to apply to UNMIK the same standards applicable to a State in a normal situation.</w:t>
      </w:r>
    </w:p>
    <w:p w:rsidR="00EC6FD7" w:rsidRPr="00DC2CE0" w:rsidRDefault="00EC6FD7" w:rsidP="00EC6FD7">
      <w:pPr>
        <w:pStyle w:val="MediumGrid1-Accent21"/>
        <w:tabs>
          <w:tab w:val="left" w:pos="360"/>
        </w:tabs>
        <w:ind w:left="360" w:hanging="360"/>
        <w:rPr>
          <w:lang w:val="en-GB" w:eastAsia="en-US"/>
        </w:rPr>
      </w:pPr>
    </w:p>
    <w:p w:rsidR="00EC6FD7" w:rsidRPr="00DC2CE0" w:rsidRDefault="00EC6FD7" w:rsidP="001707FB">
      <w:pPr>
        <w:pStyle w:val="MediumGrid1-Accent21"/>
        <w:numPr>
          <w:ilvl w:val="0"/>
          <w:numId w:val="2"/>
        </w:numPr>
        <w:tabs>
          <w:tab w:val="left" w:pos="360"/>
        </w:tabs>
        <w:suppressAutoHyphens w:val="0"/>
        <w:contextualSpacing/>
        <w:jc w:val="both"/>
        <w:rPr>
          <w:lang w:val="en-GB" w:eastAsia="en-US"/>
        </w:rPr>
      </w:pPr>
      <w:r w:rsidRPr="00DC2CE0">
        <w:rPr>
          <w:lang w:val="en-GB" w:eastAsia="en-US"/>
        </w:rPr>
        <w:t xml:space="preserve">The Panel </w:t>
      </w:r>
      <w:r w:rsidRPr="00DC2CE0">
        <w:rPr>
          <w:lang w:val="en-GB"/>
        </w:rPr>
        <w:t>considers</w:t>
      </w:r>
      <w:r w:rsidRPr="00DC2CE0">
        <w:rPr>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EC6FD7" w:rsidRPr="00DC2CE0" w:rsidRDefault="00EC6FD7" w:rsidP="00EC6FD7">
      <w:pPr>
        <w:pStyle w:val="MediumGrid1-Accent21"/>
        <w:tabs>
          <w:tab w:val="left" w:pos="360"/>
        </w:tabs>
        <w:ind w:left="360" w:hanging="360"/>
        <w:rPr>
          <w:lang w:val="en-GB" w:eastAsia="en-US"/>
        </w:rPr>
      </w:pPr>
    </w:p>
    <w:p w:rsidR="00EC6FD7" w:rsidRPr="00DC2CE0" w:rsidRDefault="00EC6FD7" w:rsidP="001707FB">
      <w:pPr>
        <w:pStyle w:val="MediumGrid1-Accent21"/>
        <w:numPr>
          <w:ilvl w:val="0"/>
          <w:numId w:val="2"/>
        </w:numPr>
        <w:tabs>
          <w:tab w:val="left" w:pos="360"/>
        </w:tabs>
        <w:suppressAutoHyphens w:val="0"/>
        <w:contextualSpacing/>
        <w:jc w:val="both"/>
        <w:rPr>
          <w:lang w:val="en-GB" w:eastAsia="en-US"/>
        </w:rPr>
      </w:pPr>
      <w:r w:rsidRPr="00DC2CE0">
        <w:rPr>
          <w:lang w:val="en-GB" w:eastAsia="en-US"/>
        </w:rPr>
        <w:t xml:space="preserve">As regards the applicability of Article 2 to UNMIK, the Panel recalls </w:t>
      </w:r>
      <w:r w:rsidRPr="00DC2CE0">
        <w:rPr>
          <w:lang w:val="en-GB" w:eastAsia="nl-BE"/>
        </w:rPr>
        <w:t xml:space="preserve">that with the adoption of the UNMIK Regulation No. 1999/1 on 25 July 1999 UNMIK undertook an obligation to observe internationally recognised human rights standards in exercising its </w:t>
      </w:r>
      <w:r w:rsidRPr="00DC2CE0">
        <w:rPr>
          <w:lang w:val="en-GB"/>
        </w:rPr>
        <w:t>functions</w:t>
      </w:r>
      <w:r w:rsidRPr="00DC2CE0">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C2CE0">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DC2CE0">
        <w:rPr>
          <w:i/>
          <w:lang w:val="en-GB"/>
        </w:rPr>
        <w:t>Milogorić</w:t>
      </w:r>
      <w:proofErr w:type="spellEnd"/>
      <w:r w:rsidRPr="00DC2CE0">
        <w:rPr>
          <w:lang w:val="en-GB"/>
        </w:rPr>
        <w:t xml:space="preserve"> </w:t>
      </w:r>
      <w:r w:rsidRPr="00DC2CE0">
        <w:rPr>
          <w:i/>
          <w:lang w:val="en-GB"/>
        </w:rPr>
        <w:t>and Others,</w:t>
      </w:r>
      <w:r w:rsidRPr="00DC2CE0">
        <w:rPr>
          <w:lang w:val="en-GB"/>
        </w:rPr>
        <w:t xml:space="preserve"> nos. 38/08 and others, opinion of 24 March 2011, § 44; </w:t>
      </w:r>
      <w:proofErr w:type="spellStart"/>
      <w:r w:rsidRPr="00DC2CE0">
        <w:rPr>
          <w:i/>
          <w:lang w:val="en-GB"/>
        </w:rPr>
        <w:t>Berisha</w:t>
      </w:r>
      <w:proofErr w:type="spellEnd"/>
      <w:r w:rsidRPr="00DC2CE0">
        <w:rPr>
          <w:i/>
          <w:lang w:val="en-GB"/>
        </w:rPr>
        <w:t xml:space="preserve"> and Others,</w:t>
      </w:r>
      <w:r w:rsidRPr="00DC2CE0">
        <w:rPr>
          <w:lang w:val="en-GB"/>
        </w:rPr>
        <w:t xml:space="preserve"> nos. 27/08 and others, opinion of 23 February 2011,</w:t>
      </w:r>
      <w:r w:rsidRPr="00DC2CE0">
        <w:rPr>
          <w:i/>
          <w:lang w:val="en-GB"/>
        </w:rPr>
        <w:t xml:space="preserve"> </w:t>
      </w:r>
      <w:r w:rsidRPr="00DC2CE0">
        <w:rPr>
          <w:lang w:val="en-GB"/>
        </w:rPr>
        <w:t xml:space="preserve">§ 25; </w:t>
      </w:r>
      <w:proofErr w:type="spellStart"/>
      <w:r w:rsidRPr="00DC2CE0">
        <w:rPr>
          <w:i/>
          <w:lang w:val="en-GB"/>
        </w:rPr>
        <w:t>Lalić</w:t>
      </w:r>
      <w:proofErr w:type="spellEnd"/>
      <w:r w:rsidRPr="00DC2CE0">
        <w:rPr>
          <w:i/>
          <w:lang w:val="en-GB"/>
        </w:rPr>
        <w:t xml:space="preserve"> and Others</w:t>
      </w:r>
      <w:r w:rsidRPr="00DC2CE0">
        <w:rPr>
          <w:lang w:val="en-GB"/>
        </w:rPr>
        <w:t>, nos. 09/08 and others, opinion of 9 June 2012, § 22).</w:t>
      </w:r>
    </w:p>
    <w:p w:rsidR="00EC6FD7" w:rsidRPr="00DC2CE0" w:rsidRDefault="00EC6FD7" w:rsidP="00EC6FD7">
      <w:pPr>
        <w:tabs>
          <w:tab w:val="left" w:pos="360"/>
        </w:tabs>
        <w:ind w:left="360" w:hanging="360"/>
        <w:jc w:val="both"/>
      </w:pPr>
    </w:p>
    <w:p w:rsidR="00EC6FD7" w:rsidRPr="00DC2CE0" w:rsidRDefault="00EC6FD7" w:rsidP="009821D9">
      <w:pPr>
        <w:pStyle w:val="MediumGrid1-Accent21"/>
        <w:numPr>
          <w:ilvl w:val="0"/>
          <w:numId w:val="2"/>
        </w:numPr>
        <w:suppressAutoHyphens w:val="0"/>
        <w:contextualSpacing/>
        <w:jc w:val="both"/>
        <w:rPr>
          <w:lang w:val="en-GB" w:eastAsia="en-US"/>
        </w:rPr>
      </w:pPr>
      <w:r w:rsidRPr="00DC2CE0">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DC2CE0">
        <w:rPr>
          <w:lang w:val="en-GB" w:eastAsia="en-US"/>
        </w:rPr>
        <w:t>Yugoslavia</w:t>
      </w:r>
      <w:r w:rsidRPr="00DC2CE0">
        <w:rPr>
          <w:lang w:val="en-GB"/>
        </w:rPr>
        <w:t xml:space="preserve"> (see, among other examples, </w:t>
      </w:r>
      <w:proofErr w:type="spellStart"/>
      <w:r w:rsidRPr="00DC2CE0">
        <w:rPr>
          <w:lang w:val="en-GB"/>
        </w:rPr>
        <w:t>ECtHR</w:t>
      </w:r>
      <w:proofErr w:type="spellEnd"/>
      <w:r w:rsidRPr="00DC2CE0">
        <w:rPr>
          <w:lang w:val="en-GB"/>
        </w:rPr>
        <w:t xml:space="preserve">, </w:t>
      </w:r>
      <w:proofErr w:type="spellStart"/>
      <w:r w:rsidRPr="00DC2CE0">
        <w:rPr>
          <w:i/>
          <w:lang w:val="en-GB"/>
        </w:rPr>
        <w:t>Palić</w:t>
      </w:r>
      <w:proofErr w:type="spellEnd"/>
      <w:r w:rsidRPr="00DC2CE0">
        <w:rPr>
          <w:i/>
          <w:lang w:val="en-GB"/>
        </w:rPr>
        <w:t xml:space="preserve"> v. Bosnia and Herzegovina,</w:t>
      </w:r>
      <w:r w:rsidRPr="00DC2CE0">
        <w:rPr>
          <w:lang w:val="en-GB"/>
        </w:rPr>
        <w:t xml:space="preserve"> cited in § </w:t>
      </w:r>
      <w:r w:rsidR="000D3FCD" w:rsidRPr="00DC2CE0">
        <w:rPr>
          <w:lang w:val="en-GB"/>
        </w:rPr>
        <w:t>73</w:t>
      </w:r>
      <w:r w:rsidRPr="00DC2CE0">
        <w:rPr>
          <w:lang w:val="en-GB"/>
        </w:rPr>
        <w:t xml:space="preserve"> above, and </w:t>
      </w:r>
      <w:proofErr w:type="spellStart"/>
      <w:r w:rsidRPr="00DC2CE0">
        <w:rPr>
          <w:lang w:val="en-GB"/>
        </w:rPr>
        <w:t>ECtHR</w:t>
      </w:r>
      <w:proofErr w:type="spellEnd"/>
      <w:r w:rsidRPr="00DC2CE0">
        <w:rPr>
          <w:lang w:val="en-GB"/>
        </w:rPr>
        <w:t xml:space="preserve">, </w:t>
      </w:r>
      <w:proofErr w:type="spellStart"/>
      <w:r w:rsidRPr="00DC2CE0">
        <w:rPr>
          <w:i/>
          <w:lang w:val="en-GB"/>
        </w:rPr>
        <w:t>Jularić</w:t>
      </w:r>
      <w:proofErr w:type="spellEnd"/>
      <w:r w:rsidRPr="00DC2CE0">
        <w:rPr>
          <w:i/>
          <w:lang w:val="en-GB"/>
        </w:rPr>
        <w:t xml:space="preserve"> v. Croatia</w:t>
      </w:r>
      <w:r w:rsidRPr="00DC2CE0">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DC2CE0">
        <w:rPr>
          <w:lang w:val="en-GB" w:eastAsia="en-US"/>
        </w:rPr>
        <w:t>ECtHR</w:t>
      </w:r>
      <w:proofErr w:type="spellEnd"/>
      <w:r w:rsidRPr="00DC2CE0">
        <w:rPr>
          <w:lang w:val="en-GB" w:eastAsia="en-US"/>
        </w:rPr>
        <w:t xml:space="preserve"> [GC], </w:t>
      </w:r>
      <w:r w:rsidRPr="00DC2CE0">
        <w:rPr>
          <w:i/>
          <w:lang w:val="en-GB" w:eastAsia="en-US"/>
        </w:rPr>
        <w:t>Al-</w:t>
      </w:r>
      <w:proofErr w:type="spellStart"/>
      <w:r w:rsidRPr="00DC2CE0">
        <w:rPr>
          <w:i/>
          <w:lang w:val="en-GB" w:eastAsia="en-US"/>
        </w:rPr>
        <w:t>Skeini</w:t>
      </w:r>
      <w:proofErr w:type="spellEnd"/>
      <w:r w:rsidRPr="00DC2CE0">
        <w:rPr>
          <w:i/>
          <w:lang w:val="en-GB" w:eastAsia="en-US"/>
        </w:rPr>
        <w:t xml:space="preserve"> and Others v. the United Kingdom</w:t>
      </w:r>
      <w:r w:rsidRPr="00DC2CE0">
        <w:rPr>
          <w:lang w:val="en-GB" w:eastAsia="en-US"/>
        </w:rPr>
        <w:t xml:space="preserve">, cited in § </w:t>
      </w:r>
      <w:r w:rsidR="000D3FCD" w:rsidRPr="00DC2CE0">
        <w:rPr>
          <w:lang w:val="en-GB"/>
        </w:rPr>
        <w:t>76</w:t>
      </w:r>
      <w:r w:rsidRPr="00DC2CE0">
        <w:rPr>
          <w:lang w:val="en-GB" w:eastAsia="en-US"/>
        </w:rPr>
        <w:t xml:space="preserve"> above, at § 164; see also </w:t>
      </w:r>
      <w:proofErr w:type="spellStart"/>
      <w:r w:rsidRPr="00DC2CE0">
        <w:rPr>
          <w:lang w:val="en-GB" w:eastAsia="en-US"/>
        </w:rPr>
        <w:t>ECtHR</w:t>
      </w:r>
      <w:proofErr w:type="spellEnd"/>
      <w:r w:rsidRPr="00DC2CE0">
        <w:rPr>
          <w:lang w:val="en-GB" w:eastAsia="en-US"/>
        </w:rPr>
        <w:t xml:space="preserve">, </w:t>
      </w:r>
      <w:proofErr w:type="spellStart"/>
      <w:r w:rsidRPr="00DC2CE0">
        <w:rPr>
          <w:i/>
          <w:lang w:val="en-GB" w:eastAsia="en-US"/>
        </w:rPr>
        <w:t>Güleç</w:t>
      </w:r>
      <w:proofErr w:type="spellEnd"/>
      <w:r w:rsidRPr="00DC2CE0">
        <w:rPr>
          <w:i/>
          <w:lang w:val="en-GB" w:eastAsia="en-US"/>
        </w:rPr>
        <w:t xml:space="preserve"> v. Turkey</w:t>
      </w:r>
      <w:r w:rsidRPr="00DC2CE0">
        <w:rPr>
          <w:lang w:val="en-GB" w:eastAsia="en-US"/>
        </w:rPr>
        <w:t>, judgment of 27 July 1998, § 81,</w:t>
      </w:r>
      <w:r w:rsidRPr="00DC2CE0">
        <w:rPr>
          <w:lang w:val="en-GB"/>
        </w:rPr>
        <w:t xml:space="preserve"> Reports </w:t>
      </w:r>
      <w:r w:rsidRPr="00DC2CE0">
        <w:rPr>
          <w:lang w:val="en-GB" w:eastAsia="en-US"/>
        </w:rPr>
        <w:t xml:space="preserve">1998-IV; </w:t>
      </w:r>
      <w:proofErr w:type="spellStart"/>
      <w:r w:rsidRPr="00DC2CE0">
        <w:rPr>
          <w:lang w:val="en-GB" w:eastAsia="en-US"/>
        </w:rPr>
        <w:t>ECtHR</w:t>
      </w:r>
      <w:proofErr w:type="spellEnd"/>
      <w:r w:rsidRPr="00DC2CE0">
        <w:rPr>
          <w:lang w:val="en-GB" w:eastAsia="en-US"/>
        </w:rPr>
        <w:t>,</w:t>
      </w:r>
      <w:r w:rsidRPr="00DC2CE0">
        <w:rPr>
          <w:i/>
          <w:lang w:val="en-GB" w:eastAsia="en-US"/>
        </w:rPr>
        <w:t xml:space="preserve"> </w:t>
      </w:r>
      <w:proofErr w:type="spellStart"/>
      <w:r w:rsidRPr="00DC2CE0">
        <w:rPr>
          <w:i/>
          <w:lang w:val="en-GB" w:eastAsia="en-US"/>
        </w:rPr>
        <w:t>Ergi</w:t>
      </w:r>
      <w:proofErr w:type="spellEnd"/>
      <w:r w:rsidRPr="00DC2CE0">
        <w:rPr>
          <w:i/>
          <w:lang w:val="en-GB" w:eastAsia="en-US"/>
        </w:rPr>
        <w:t xml:space="preserve"> v. Turkey</w:t>
      </w:r>
      <w:r w:rsidR="009821D9" w:rsidRPr="00DC2CE0">
        <w:rPr>
          <w:lang w:val="en-GB" w:eastAsia="en-US"/>
        </w:rPr>
        <w:t xml:space="preserve">, cited at </w:t>
      </w:r>
      <w:r w:rsidRPr="00DC2CE0">
        <w:rPr>
          <w:lang w:val="en-GB" w:eastAsia="en-US"/>
        </w:rPr>
        <w:t xml:space="preserve">§§ 79 and 82, Reports 1998-IV; </w:t>
      </w:r>
      <w:proofErr w:type="spellStart"/>
      <w:r w:rsidRPr="00DC2CE0">
        <w:rPr>
          <w:lang w:val="en-GB" w:eastAsia="en-US"/>
        </w:rPr>
        <w:t>ECtHR</w:t>
      </w:r>
      <w:proofErr w:type="spellEnd"/>
      <w:r w:rsidRPr="00DC2CE0">
        <w:rPr>
          <w:lang w:val="en-GB" w:eastAsia="en-US"/>
        </w:rPr>
        <w:t>,</w:t>
      </w:r>
      <w:r w:rsidRPr="00DC2CE0">
        <w:rPr>
          <w:i/>
          <w:lang w:val="en-GB" w:eastAsia="en-US"/>
        </w:rPr>
        <w:t xml:space="preserve"> </w:t>
      </w:r>
      <w:proofErr w:type="spellStart"/>
      <w:r w:rsidRPr="00DC2CE0">
        <w:rPr>
          <w:i/>
          <w:lang w:val="en-GB" w:eastAsia="en-US"/>
        </w:rPr>
        <w:t>Ahmet</w:t>
      </w:r>
      <w:proofErr w:type="spellEnd"/>
      <w:r w:rsidRPr="00DC2CE0">
        <w:rPr>
          <w:i/>
          <w:lang w:val="en-GB" w:eastAsia="en-US"/>
        </w:rPr>
        <w:t xml:space="preserve"> </w:t>
      </w:r>
      <w:proofErr w:type="spellStart"/>
      <w:r w:rsidRPr="00DC2CE0">
        <w:rPr>
          <w:i/>
          <w:lang w:val="en-GB" w:eastAsia="en-US"/>
        </w:rPr>
        <w:t>Özkan</w:t>
      </w:r>
      <w:proofErr w:type="spellEnd"/>
      <w:r w:rsidRPr="00DC2CE0">
        <w:rPr>
          <w:i/>
          <w:lang w:val="en-GB" w:eastAsia="en-US"/>
        </w:rPr>
        <w:t xml:space="preserve"> and Others v. Turkey</w:t>
      </w:r>
      <w:r w:rsidRPr="00DC2CE0">
        <w:rPr>
          <w:lang w:val="en-GB" w:eastAsia="en-US"/>
        </w:rPr>
        <w:t xml:space="preserve">, </w:t>
      </w:r>
      <w:r w:rsidRPr="00DC2CE0">
        <w:rPr>
          <w:lang w:val="en-GB"/>
        </w:rPr>
        <w:t xml:space="preserve">cited in § </w:t>
      </w:r>
      <w:r w:rsidR="000D3FCD" w:rsidRPr="00DC2CE0">
        <w:rPr>
          <w:lang w:val="en-GB"/>
        </w:rPr>
        <w:t>72</w:t>
      </w:r>
      <w:r w:rsidRPr="00DC2CE0">
        <w:rPr>
          <w:lang w:val="en-GB"/>
        </w:rPr>
        <w:t xml:space="preserve"> above, at </w:t>
      </w:r>
      <w:r w:rsidRPr="00DC2CE0">
        <w:rPr>
          <w:lang w:val="en-GB" w:eastAsia="en-US"/>
        </w:rPr>
        <w:t>§§ 85-90, 309-320 and 326-330;</w:t>
      </w:r>
      <w:r w:rsidRPr="00DC2CE0">
        <w:rPr>
          <w:i/>
          <w:lang w:val="en-GB" w:eastAsia="en-US"/>
        </w:rPr>
        <w:t xml:space="preserve"> </w:t>
      </w:r>
      <w:proofErr w:type="spellStart"/>
      <w:r w:rsidRPr="00DC2CE0">
        <w:rPr>
          <w:i/>
          <w:lang w:val="en-GB" w:eastAsia="en-US"/>
        </w:rPr>
        <w:t>Isayeva</w:t>
      </w:r>
      <w:proofErr w:type="spellEnd"/>
      <w:r w:rsidRPr="00DC2CE0">
        <w:rPr>
          <w:i/>
          <w:lang w:val="en-GB" w:eastAsia="en-US"/>
        </w:rPr>
        <w:t xml:space="preserve"> v. Russia</w:t>
      </w:r>
      <w:r w:rsidRPr="00DC2CE0">
        <w:rPr>
          <w:lang w:val="en-GB" w:eastAsia="en-US"/>
        </w:rPr>
        <w:t xml:space="preserve">, </w:t>
      </w:r>
      <w:r w:rsidRPr="00DC2CE0">
        <w:rPr>
          <w:lang w:val="en-GB"/>
        </w:rPr>
        <w:t xml:space="preserve">cited in § </w:t>
      </w:r>
      <w:r w:rsidR="000D3FCD" w:rsidRPr="00DC2CE0">
        <w:rPr>
          <w:lang w:val="en-GB"/>
        </w:rPr>
        <w:t>72</w:t>
      </w:r>
      <w:r w:rsidRPr="00DC2CE0">
        <w:rPr>
          <w:lang w:val="en-GB"/>
        </w:rPr>
        <w:t xml:space="preserve"> above, at </w:t>
      </w:r>
      <w:r w:rsidRPr="00DC2CE0">
        <w:rPr>
          <w:lang w:val="en-GB" w:eastAsia="en-US"/>
        </w:rPr>
        <w:t xml:space="preserve">§§ 180 and 210; </w:t>
      </w:r>
      <w:proofErr w:type="spellStart"/>
      <w:r w:rsidRPr="00DC2CE0">
        <w:rPr>
          <w:lang w:val="en-GB" w:eastAsia="en-US"/>
        </w:rPr>
        <w:t>ECtHR</w:t>
      </w:r>
      <w:proofErr w:type="spellEnd"/>
      <w:r w:rsidRPr="00DC2CE0">
        <w:rPr>
          <w:lang w:val="en-GB" w:eastAsia="en-US"/>
        </w:rPr>
        <w:t xml:space="preserve">, </w:t>
      </w:r>
      <w:proofErr w:type="spellStart"/>
      <w:r w:rsidRPr="00DC2CE0">
        <w:rPr>
          <w:i/>
          <w:lang w:val="en-GB" w:eastAsia="en-US"/>
        </w:rPr>
        <w:t>Kanlibaş</w:t>
      </w:r>
      <w:proofErr w:type="spellEnd"/>
      <w:r w:rsidRPr="00DC2CE0">
        <w:rPr>
          <w:i/>
          <w:lang w:val="en-GB" w:eastAsia="en-US"/>
        </w:rPr>
        <w:t xml:space="preserve"> v. Turkey</w:t>
      </w:r>
      <w:r w:rsidRPr="00DC2CE0">
        <w:rPr>
          <w:lang w:val="en-GB" w:eastAsia="en-US"/>
        </w:rPr>
        <w:t>, no. 32444/96, judgment of 8 December 2005, §§ 39-51)</w:t>
      </w:r>
      <w:r w:rsidRPr="00DC2CE0">
        <w:rPr>
          <w:lang w:val="en-GB"/>
        </w:rPr>
        <w:t xml:space="preserve">. </w:t>
      </w:r>
    </w:p>
    <w:p w:rsidR="00EC6FD7" w:rsidRPr="00DC2CE0" w:rsidRDefault="00EC6FD7" w:rsidP="00EC6FD7">
      <w:pPr>
        <w:pStyle w:val="MediumGrid1-Accent21"/>
        <w:tabs>
          <w:tab w:val="left" w:pos="360"/>
        </w:tabs>
        <w:ind w:left="360" w:hanging="360"/>
        <w:rPr>
          <w:lang w:val="en-GB"/>
        </w:rPr>
      </w:pPr>
    </w:p>
    <w:p w:rsidR="00416605" w:rsidRPr="00DC2CE0" w:rsidRDefault="00EC6FD7" w:rsidP="00FC2C07">
      <w:pPr>
        <w:pStyle w:val="MediumGrid1-Accent21"/>
        <w:numPr>
          <w:ilvl w:val="0"/>
          <w:numId w:val="2"/>
        </w:numPr>
        <w:suppressAutoHyphens w:val="0"/>
        <w:contextualSpacing/>
        <w:jc w:val="both"/>
        <w:rPr>
          <w:lang w:val="en-GB" w:eastAsia="en-US"/>
        </w:rPr>
      </w:pPr>
      <w:bookmarkStart w:id="22" w:name="_Ref348542926"/>
      <w:r w:rsidRPr="00DC2CE0">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DC2CE0">
        <w:rPr>
          <w:lang w:val="en-GB" w:eastAsia="en-US"/>
        </w:rPr>
        <w:t xml:space="preserve">use of </w:t>
      </w:r>
      <w:r w:rsidRPr="00DC2CE0">
        <w:rPr>
          <w:lang w:val="en-GB"/>
        </w:rPr>
        <w:t xml:space="preserve">less effective measures of investigation or may cause an investigation to be delayed” (see, </w:t>
      </w:r>
      <w:proofErr w:type="spellStart"/>
      <w:r w:rsidRPr="00DC2CE0">
        <w:rPr>
          <w:lang w:val="en-GB" w:eastAsia="en-US"/>
        </w:rPr>
        <w:t>ECtHR</w:t>
      </w:r>
      <w:proofErr w:type="spellEnd"/>
      <w:r w:rsidRPr="00DC2CE0">
        <w:rPr>
          <w:lang w:val="en-GB" w:eastAsia="en-US"/>
        </w:rPr>
        <w:t xml:space="preserve"> [GC], </w:t>
      </w:r>
      <w:r w:rsidRPr="00DC2CE0">
        <w:rPr>
          <w:i/>
          <w:lang w:val="en-GB" w:eastAsia="en-US"/>
        </w:rPr>
        <w:t>Al-</w:t>
      </w:r>
      <w:proofErr w:type="spellStart"/>
      <w:r w:rsidRPr="00DC2CE0">
        <w:rPr>
          <w:i/>
          <w:lang w:val="en-GB" w:eastAsia="en-US"/>
        </w:rPr>
        <w:t>Skeini</w:t>
      </w:r>
      <w:proofErr w:type="spellEnd"/>
      <w:r w:rsidRPr="00DC2CE0">
        <w:rPr>
          <w:i/>
          <w:lang w:val="en-GB" w:eastAsia="en-US"/>
        </w:rPr>
        <w:t xml:space="preserve"> and Others v. the United Kingdom, </w:t>
      </w:r>
      <w:r w:rsidRPr="00DC2CE0">
        <w:rPr>
          <w:lang w:val="en-GB" w:eastAsia="en-US"/>
        </w:rPr>
        <w:t xml:space="preserve">cited </w:t>
      </w:r>
      <w:r w:rsidR="000D3FCD" w:rsidRPr="00DC2CE0">
        <w:rPr>
          <w:lang w:val="en-GB" w:eastAsia="en-US"/>
        </w:rPr>
        <w:t>above, at §164</w:t>
      </w:r>
      <w:r w:rsidRPr="00DC2CE0">
        <w:rPr>
          <w:lang w:val="en-GB" w:eastAsia="en-US"/>
        </w:rPr>
        <w:t>)</w:t>
      </w:r>
      <w:r w:rsidRPr="00DC2CE0">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DC2CE0">
        <w:rPr>
          <w:lang w:val="en-GB"/>
        </w:rPr>
        <w:t>ECtHR</w:t>
      </w:r>
      <w:proofErr w:type="spellEnd"/>
      <w:r w:rsidRPr="00DC2CE0">
        <w:rPr>
          <w:lang w:val="en-GB"/>
        </w:rPr>
        <w:t xml:space="preserve">, </w:t>
      </w:r>
      <w:r w:rsidRPr="00DC2CE0">
        <w:rPr>
          <w:i/>
          <w:lang w:val="en-GB" w:eastAsia="en-US"/>
        </w:rPr>
        <w:t>Kaya v. Turkey</w:t>
      </w:r>
      <w:r w:rsidRPr="00DC2CE0">
        <w:rPr>
          <w:lang w:val="en-GB" w:eastAsia="en-US"/>
        </w:rPr>
        <w:t xml:space="preserve">, cited in § </w:t>
      </w:r>
      <w:r w:rsidR="00CF4384" w:rsidRPr="00DC2CE0">
        <w:rPr>
          <w:lang w:val="en-GB"/>
        </w:rPr>
        <w:t xml:space="preserve">70 </w:t>
      </w:r>
      <w:r w:rsidRPr="00DC2CE0">
        <w:rPr>
          <w:lang w:val="en-GB" w:eastAsia="en-US"/>
        </w:rPr>
        <w:t>above, at §§ 86</w:t>
      </w:r>
      <w:r w:rsidRPr="00DC2CE0">
        <w:rPr>
          <w:lang w:val="en-GB" w:eastAsia="en-US"/>
        </w:rPr>
        <w:noBreakHyphen/>
        <w:t xml:space="preserve">92; </w:t>
      </w:r>
      <w:proofErr w:type="spellStart"/>
      <w:r w:rsidRPr="00DC2CE0">
        <w:rPr>
          <w:lang w:val="en-GB" w:eastAsia="en-US"/>
        </w:rPr>
        <w:t>ECtHR</w:t>
      </w:r>
      <w:proofErr w:type="spellEnd"/>
      <w:r w:rsidRPr="00DC2CE0">
        <w:rPr>
          <w:lang w:val="en-GB" w:eastAsia="en-US"/>
        </w:rPr>
        <w:t xml:space="preserve">, </w:t>
      </w:r>
      <w:proofErr w:type="spellStart"/>
      <w:r w:rsidRPr="00DC2CE0">
        <w:rPr>
          <w:i/>
          <w:lang w:val="en-GB" w:eastAsia="en-US"/>
        </w:rPr>
        <w:t>Ergi</w:t>
      </w:r>
      <w:proofErr w:type="spellEnd"/>
      <w:r w:rsidRPr="00DC2CE0">
        <w:rPr>
          <w:i/>
          <w:lang w:val="en-GB" w:eastAsia="en-US"/>
        </w:rPr>
        <w:t xml:space="preserve"> v. Turkey, </w:t>
      </w:r>
      <w:r w:rsidRPr="00DC2CE0">
        <w:rPr>
          <w:lang w:val="en-GB" w:eastAsia="en-US"/>
        </w:rPr>
        <w:t xml:space="preserve">cited above, at §§ 82-85; </w:t>
      </w:r>
      <w:proofErr w:type="spellStart"/>
      <w:r w:rsidRPr="00DC2CE0">
        <w:rPr>
          <w:lang w:val="en-GB" w:eastAsia="en-US"/>
        </w:rPr>
        <w:t>ECtHR</w:t>
      </w:r>
      <w:proofErr w:type="spellEnd"/>
      <w:r w:rsidRPr="00DC2CE0">
        <w:rPr>
          <w:lang w:val="en-GB" w:eastAsia="en-US"/>
        </w:rPr>
        <w:t xml:space="preserve"> [GC], </w:t>
      </w:r>
      <w:proofErr w:type="spellStart"/>
      <w:r w:rsidRPr="00DC2CE0">
        <w:rPr>
          <w:i/>
          <w:lang w:val="en-GB" w:eastAsia="en-US"/>
        </w:rPr>
        <w:t>Tanrıkulu</w:t>
      </w:r>
      <w:proofErr w:type="spellEnd"/>
      <w:r w:rsidRPr="00DC2CE0">
        <w:rPr>
          <w:i/>
          <w:lang w:val="en-GB" w:eastAsia="en-US"/>
        </w:rPr>
        <w:t xml:space="preserve"> v. Turkey</w:t>
      </w:r>
      <w:r w:rsidRPr="00DC2CE0">
        <w:rPr>
          <w:lang w:val="en-GB" w:eastAsia="en-US"/>
        </w:rPr>
        <w:t xml:space="preserve">, no. 23763/94, judgment of 8 July 1999, §§ 101-110, ECHR 1999-IV; </w:t>
      </w:r>
      <w:proofErr w:type="spellStart"/>
      <w:r w:rsidRPr="00DC2CE0">
        <w:rPr>
          <w:lang w:val="en-GB" w:eastAsia="en-US"/>
        </w:rPr>
        <w:t>ECtHR</w:t>
      </w:r>
      <w:proofErr w:type="spellEnd"/>
      <w:r w:rsidRPr="00DC2CE0">
        <w:rPr>
          <w:lang w:val="en-GB" w:eastAsia="en-US"/>
        </w:rPr>
        <w:t xml:space="preserve">, </w:t>
      </w:r>
      <w:proofErr w:type="spellStart"/>
      <w:r w:rsidRPr="00DC2CE0">
        <w:rPr>
          <w:i/>
          <w:lang w:val="en-GB" w:eastAsia="en-US"/>
        </w:rPr>
        <w:t>Khashiyev</w:t>
      </w:r>
      <w:proofErr w:type="spellEnd"/>
      <w:r w:rsidRPr="00DC2CE0">
        <w:rPr>
          <w:i/>
          <w:lang w:val="en-GB" w:eastAsia="en-US"/>
        </w:rPr>
        <w:t xml:space="preserve"> and </w:t>
      </w:r>
      <w:proofErr w:type="spellStart"/>
      <w:r w:rsidRPr="00DC2CE0">
        <w:rPr>
          <w:i/>
          <w:lang w:val="en-GB" w:eastAsia="en-US"/>
        </w:rPr>
        <w:t>Akayeva</w:t>
      </w:r>
      <w:proofErr w:type="spellEnd"/>
      <w:r w:rsidRPr="00DC2CE0">
        <w:rPr>
          <w:i/>
          <w:lang w:val="en-GB" w:eastAsia="en-US"/>
        </w:rPr>
        <w:t xml:space="preserve"> v. Russia</w:t>
      </w:r>
      <w:r w:rsidRPr="00DC2CE0">
        <w:rPr>
          <w:lang w:val="en-GB" w:eastAsia="en-US"/>
        </w:rPr>
        <w:t xml:space="preserve">, nos. 57942/00 and 57945/00, judgment of 24 February 2005, §§ 156-166; </w:t>
      </w:r>
      <w:proofErr w:type="spellStart"/>
      <w:r w:rsidRPr="00DC2CE0">
        <w:rPr>
          <w:lang w:val="en-GB" w:eastAsia="en-US"/>
        </w:rPr>
        <w:t>ECtHR</w:t>
      </w:r>
      <w:proofErr w:type="spellEnd"/>
      <w:r w:rsidRPr="00DC2CE0">
        <w:rPr>
          <w:lang w:val="en-GB" w:eastAsia="en-US"/>
        </w:rPr>
        <w:t xml:space="preserve">, </w:t>
      </w:r>
      <w:proofErr w:type="spellStart"/>
      <w:r w:rsidRPr="00DC2CE0">
        <w:rPr>
          <w:i/>
          <w:lang w:val="en-GB" w:eastAsia="en-US"/>
        </w:rPr>
        <w:t>Isayeva</w:t>
      </w:r>
      <w:proofErr w:type="spellEnd"/>
      <w:r w:rsidRPr="00DC2CE0">
        <w:rPr>
          <w:i/>
          <w:lang w:val="en-GB" w:eastAsia="en-US"/>
        </w:rPr>
        <w:t xml:space="preserve"> v. Russia</w:t>
      </w:r>
      <w:r w:rsidRPr="00DC2CE0">
        <w:rPr>
          <w:lang w:val="en-GB" w:eastAsia="en-US"/>
        </w:rPr>
        <w:t xml:space="preserve">, </w:t>
      </w:r>
      <w:r w:rsidRPr="00DC2CE0">
        <w:rPr>
          <w:lang w:val="en-GB"/>
        </w:rPr>
        <w:t xml:space="preserve">cited above, at </w:t>
      </w:r>
      <w:r w:rsidRPr="00DC2CE0">
        <w:rPr>
          <w:lang w:val="en-GB" w:eastAsia="en-US"/>
        </w:rPr>
        <w:t>§§ 215</w:t>
      </w:r>
      <w:r w:rsidRPr="00DC2CE0">
        <w:rPr>
          <w:lang w:val="en-GB" w:eastAsia="en-US"/>
        </w:rPr>
        <w:noBreakHyphen/>
        <w:t xml:space="preserve">224; </w:t>
      </w:r>
      <w:proofErr w:type="spellStart"/>
      <w:r w:rsidRPr="00DC2CE0">
        <w:rPr>
          <w:lang w:val="en-GB" w:eastAsia="en-US"/>
        </w:rPr>
        <w:t>ECtHR</w:t>
      </w:r>
      <w:proofErr w:type="spellEnd"/>
      <w:r w:rsidRPr="00DC2CE0">
        <w:rPr>
          <w:lang w:val="en-GB" w:eastAsia="en-US"/>
        </w:rPr>
        <w:t xml:space="preserve">, </w:t>
      </w:r>
      <w:proofErr w:type="spellStart"/>
      <w:r w:rsidRPr="00DC2CE0">
        <w:rPr>
          <w:i/>
          <w:lang w:val="en-GB" w:eastAsia="en-US"/>
        </w:rPr>
        <w:t>Musayev</w:t>
      </w:r>
      <w:proofErr w:type="spellEnd"/>
      <w:r w:rsidRPr="00DC2CE0">
        <w:rPr>
          <w:i/>
          <w:lang w:val="en-GB" w:eastAsia="en-US"/>
        </w:rPr>
        <w:t xml:space="preserve"> and Others v. Russia</w:t>
      </w:r>
      <w:r w:rsidRPr="00DC2CE0">
        <w:rPr>
          <w:lang w:val="en-GB" w:eastAsia="en-US"/>
        </w:rPr>
        <w:t>, nos. 57941/00 and others, judgment of 26 July 2007, §§ 158-165).</w:t>
      </w:r>
      <w:bookmarkEnd w:id="22"/>
      <w:r w:rsidRPr="00DC2CE0">
        <w:rPr>
          <w:lang w:val="en-GB" w:eastAsia="en-US"/>
        </w:rPr>
        <w:t xml:space="preserve"> </w:t>
      </w:r>
    </w:p>
    <w:p w:rsidR="00416605" w:rsidRPr="00DC2CE0" w:rsidRDefault="00416605" w:rsidP="00416605">
      <w:pPr>
        <w:pStyle w:val="MediumGrid1-Accent21"/>
        <w:suppressAutoHyphens w:val="0"/>
        <w:ind w:left="360"/>
        <w:contextualSpacing/>
        <w:jc w:val="both"/>
        <w:rPr>
          <w:lang w:val="en-GB" w:eastAsia="en-US"/>
        </w:rPr>
      </w:pPr>
    </w:p>
    <w:p w:rsidR="00EC6FD7" w:rsidRPr="00DC2CE0" w:rsidRDefault="00EC6FD7" w:rsidP="00416605">
      <w:pPr>
        <w:pStyle w:val="MediumGrid1-Accent21"/>
        <w:numPr>
          <w:ilvl w:val="0"/>
          <w:numId w:val="2"/>
        </w:numPr>
        <w:tabs>
          <w:tab w:val="left" w:pos="360"/>
        </w:tabs>
        <w:suppressAutoHyphens w:val="0"/>
        <w:contextualSpacing/>
        <w:jc w:val="both"/>
        <w:rPr>
          <w:lang w:val="en-GB" w:eastAsia="en-US"/>
        </w:rPr>
      </w:pPr>
      <w:r w:rsidRPr="00DC2CE0">
        <w:rPr>
          <w:lang w:val="en-GB" w:eastAsia="en-US"/>
        </w:rPr>
        <w:t xml:space="preserve">Similarly, the HRC has held that the right to life, including its procedural guarantees, shall be considered as the supreme right from which no derogation is </w:t>
      </w:r>
      <w:r w:rsidRPr="00DC2CE0">
        <w:rPr>
          <w:lang w:val="en-GB"/>
        </w:rPr>
        <w:t>permitted</w:t>
      </w:r>
      <w:r w:rsidRPr="00DC2CE0">
        <w:rPr>
          <w:lang w:val="en-GB" w:eastAsia="en-US"/>
        </w:rPr>
        <w:t xml:space="preserve"> even in time of public emergency which threatens the life of the nation (see, HRC, General Comment No. 6, cited in § </w:t>
      </w:r>
      <w:r w:rsidR="00B97474" w:rsidRPr="00DC2CE0">
        <w:rPr>
          <w:lang w:val="en-GB"/>
        </w:rPr>
        <w:t>69</w:t>
      </w:r>
      <w:r w:rsidRPr="00DC2CE0">
        <w:rPr>
          <w:lang w:val="en-GB" w:eastAsia="en-US"/>
        </w:rPr>
        <w:t xml:space="preserve"> above, at § 1; HRC, </w:t>
      </w:r>
      <w:proofErr w:type="spellStart"/>
      <w:r w:rsidRPr="00DC2CE0">
        <w:rPr>
          <w:i/>
          <w:lang w:val="en-GB" w:eastAsia="en-US"/>
        </w:rPr>
        <w:t>Abubakar</w:t>
      </w:r>
      <w:proofErr w:type="spellEnd"/>
      <w:r w:rsidRPr="00DC2CE0">
        <w:rPr>
          <w:i/>
          <w:lang w:val="en-GB" w:eastAsia="en-US"/>
        </w:rPr>
        <w:t xml:space="preserve"> </w:t>
      </w:r>
      <w:proofErr w:type="spellStart"/>
      <w:r w:rsidRPr="00DC2CE0">
        <w:rPr>
          <w:i/>
          <w:lang w:val="en-GB" w:eastAsia="en-US"/>
        </w:rPr>
        <w:t>Amirov</w:t>
      </w:r>
      <w:proofErr w:type="spellEnd"/>
      <w:r w:rsidRPr="00DC2CE0">
        <w:rPr>
          <w:i/>
          <w:lang w:val="en-GB" w:eastAsia="en-US"/>
        </w:rPr>
        <w:t xml:space="preserve"> and </w:t>
      </w:r>
      <w:proofErr w:type="spellStart"/>
      <w:r w:rsidRPr="00DC2CE0">
        <w:rPr>
          <w:i/>
          <w:lang w:val="en-GB" w:eastAsia="en-US"/>
        </w:rPr>
        <w:t>Aïzan</w:t>
      </w:r>
      <w:proofErr w:type="spellEnd"/>
      <w:r w:rsidRPr="00DC2CE0">
        <w:rPr>
          <w:i/>
          <w:lang w:val="en-GB" w:eastAsia="en-US"/>
        </w:rPr>
        <w:t xml:space="preserve"> </w:t>
      </w:r>
      <w:proofErr w:type="spellStart"/>
      <w:r w:rsidRPr="00DC2CE0">
        <w:rPr>
          <w:i/>
          <w:lang w:val="en-GB" w:eastAsia="en-US"/>
        </w:rPr>
        <w:t>Amirova</w:t>
      </w:r>
      <w:proofErr w:type="spellEnd"/>
      <w:r w:rsidRPr="00DC2CE0">
        <w:rPr>
          <w:i/>
          <w:lang w:val="en-GB" w:eastAsia="en-US"/>
        </w:rPr>
        <w:t xml:space="preserve"> v. Russi</w:t>
      </w:r>
      <w:r w:rsidRPr="00DC2CE0">
        <w:rPr>
          <w:lang w:val="en-GB"/>
        </w:rPr>
        <w:t>a</w:t>
      </w:r>
      <w:r w:rsidRPr="00DC2CE0">
        <w:rPr>
          <w:i/>
          <w:lang w:val="en-GB" w:eastAsia="en-US"/>
        </w:rPr>
        <w:t>n Federation</w:t>
      </w:r>
      <w:r w:rsidRPr="00DC2CE0">
        <w:rPr>
          <w:lang w:val="en-GB" w:eastAsia="en-US"/>
        </w:rPr>
        <w:t xml:space="preserve">, 22 April 2009, § 11.2, </w:t>
      </w:r>
      <w:r w:rsidRPr="00DC2CE0">
        <w:rPr>
          <w:bCs/>
          <w:lang w:val="en-GB" w:eastAsia="en-US"/>
        </w:rPr>
        <w:t>CCPR/C/95/D/1447/2006</w:t>
      </w:r>
      <w:r w:rsidRPr="00DC2CE0">
        <w:rPr>
          <w:lang w:val="en-GB"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p>
    <w:p w:rsidR="00EC6FD7" w:rsidRPr="00DC2CE0" w:rsidRDefault="00EC6FD7" w:rsidP="00EC6FD7">
      <w:pPr>
        <w:tabs>
          <w:tab w:val="left" w:pos="360"/>
        </w:tabs>
        <w:ind w:left="360" w:hanging="360"/>
      </w:pPr>
    </w:p>
    <w:p w:rsidR="00EC6FD7" w:rsidRPr="00DC2CE0" w:rsidRDefault="00EC6FD7" w:rsidP="001707FB">
      <w:pPr>
        <w:pStyle w:val="MediumGrid1-Accent21"/>
        <w:numPr>
          <w:ilvl w:val="0"/>
          <w:numId w:val="2"/>
        </w:numPr>
        <w:tabs>
          <w:tab w:val="left" w:pos="360"/>
        </w:tabs>
        <w:suppressAutoHyphens w:val="0"/>
        <w:contextualSpacing/>
        <w:jc w:val="both"/>
        <w:rPr>
          <w:lang w:val="en-GB"/>
        </w:rPr>
      </w:pPr>
      <w:bookmarkStart w:id="23" w:name="_Ref343611663"/>
      <w:r w:rsidRPr="00DC2CE0">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DC2CE0">
        <w:rPr>
          <w:i/>
          <w:lang w:val="en-GB"/>
        </w:rPr>
        <w:t>mutatis mutandis</w:t>
      </w:r>
      <w:r w:rsidRPr="00DC2CE0">
        <w:rPr>
          <w:lang w:val="en-GB"/>
        </w:rPr>
        <w:t xml:space="preserve">, </w:t>
      </w:r>
      <w:proofErr w:type="spellStart"/>
      <w:r w:rsidRPr="00DC2CE0">
        <w:rPr>
          <w:lang w:val="en-GB"/>
        </w:rPr>
        <w:t>ECtHR</w:t>
      </w:r>
      <w:proofErr w:type="spellEnd"/>
      <w:r w:rsidRPr="00DC2CE0">
        <w:rPr>
          <w:lang w:val="en-GB"/>
        </w:rPr>
        <w:t xml:space="preserve">, </w:t>
      </w:r>
      <w:r w:rsidRPr="00DC2CE0">
        <w:rPr>
          <w:i/>
          <w:lang w:val="en-GB"/>
        </w:rPr>
        <w:t>R.R. and Others v. Hungary</w:t>
      </w:r>
      <w:r w:rsidRPr="00DC2CE0">
        <w:rPr>
          <w:lang w:val="en-GB"/>
        </w:rPr>
        <w:t xml:space="preserve">, no. 19400/11, judgment of 4 December 2012, §§ 28-32), as well as to consider the special vulnerability of displaced persons in post-conflict situations (see </w:t>
      </w:r>
      <w:proofErr w:type="spellStart"/>
      <w:r w:rsidRPr="00DC2CE0">
        <w:rPr>
          <w:lang w:val="en-GB"/>
        </w:rPr>
        <w:t>ECtHR</w:t>
      </w:r>
      <w:proofErr w:type="spellEnd"/>
      <w:r w:rsidRPr="00DC2CE0">
        <w:rPr>
          <w:lang w:val="en-GB"/>
        </w:rPr>
        <w:t xml:space="preserve"> [GC], </w:t>
      </w:r>
      <w:proofErr w:type="spellStart"/>
      <w:r w:rsidRPr="00DC2CE0">
        <w:rPr>
          <w:i/>
          <w:lang w:val="en-GB"/>
        </w:rPr>
        <w:t>Sargsyan</w:t>
      </w:r>
      <w:proofErr w:type="spellEnd"/>
      <w:r w:rsidRPr="00DC2CE0">
        <w:rPr>
          <w:i/>
          <w:lang w:val="en-GB"/>
        </w:rPr>
        <w:t xml:space="preserve"> v. Azerbaijan, </w:t>
      </w:r>
      <w:r w:rsidRPr="00DC2CE0">
        <w:rPr>
          <w:lang w:val="en-GB"/>
        </w:rPr>
        <w:t xml:space="preserve">no. 40167/06, decision of 14 December 2011, § 145; and </w:t>
      </w:r>
      <w:proofErr w:type="spellStart"/>
      <w:r w:rsidRPr="00DC2CE0">
        <w:rPr>
          <w:lang w:val="en-GB"/>
        </w:rPr>
        <w:t>ECtHR</w:t>
      </w:r>
      <w:proofErr w:type="spellEnd"/>
      <w:r w:rsidRPr="00DC2CE0">
        <w:rPr>
          <w:lang w:val="en-GB"/>
        </w:rPr>
        <w:t xml:space="preserve"> [GC], </w:t>
      </w:r>
      <w:proofErr w:type="spellStart"/>
      <w:r w:rsidRPr="00DC2CE0">
        <w:rPr>
          <w:i/>
          <w:lang w:val="en-GB"/>
        </w:rPr>
        <w:t>Chiragov</w:t>
      </w:r>
      <w:proofErr w:type="spellEnd"/>
      <w:r w:rsidRPr="00DC2CE0">
        <w:rPr>
          <w:i/>
          <w:lang w:val="en-GB"/>
        </w:rPr>
        <w:t xml:space="preserve"> and Others v. Armenia</w:t>
      </w:r>
      <w:r w:rsidRPr="00DC2CE0">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DC2CE0">
        <w:rPr>
          <w:lang w:val="en-GB" w:eastAsia="en-US"/>
        </w:rPr>
        <w:t xml:space="preserve">§ </w:t>
      </w:r>
      <w:r w:rsidR="00B97474" w:rsidRPr="00DC2CE0">
        <w:rPr>
          <w:lang w:val="en-GB"/>
        </w:rPr>
        <w:t>19</w:t>
      </w:r>
      <w:r w:rsidR="0058721F" w:rsidRPr="00DC2CE0">
        <w:rPr>
          <w:lang w:val="en-GB"/>
        </w:rPr>
        <w:t xml:space="preserve"> </w:t>
      </w:r>
      <w:r w:rsidRPr="00DC2CE0">
        <w:rPr>
          <w:lang w:val="en-GB"/>
        </w:rPr>
        <w:t>above).</w:t>
      </w:r>
      <w:bookmarkEnd w:id="23"/>
    </w:p>
    <w:p w:rsidR="00AB0FE5" w:rsidRPr="00DC2CE0" w:rsidRDefault="00AB0FE5" w:rsidP="00AB0FE5">
      <w:pPr>
        <w:pStyle w:val="MediumGrid1-Accent21"/>
        <w:suppressAutoHyphens w:val="0"/>
        <w:ind w:left="360"/>
        <w:contextualSpacing/>
        <w:jc w:val="both"/>
        <w:rPr>
          <w:lang w:val="en-GB"/>
        </w:rPr>
      </w:pPr>
    </w:p>
    <w:p w:rsidR="00AB0FE5" w:rsidRPr="00DC2CE0" w:rsidRDefault="00AB0FE5" w:rsidP="00AB0FE5">
      <w:pPr>
        <w:pStyle w:val="ListParagraph"/>
        <w:numPr>
          <w:ilvl w:val="0"/>
          <w:numId w:val="2"/>
        </w:numPr>
        <w:jc w:val="both"/>
        <w:rPr>
          <w:lang w:eastAsia="ar-SA"/>
        </w:rPr>
      </w:pPr>
      <w:r w:rsidRPr="00DC2CE0">
        <w:rPr>
          <w:lang w:eastAsia="ar-SA"/>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DC2CE0">
        <w:rPr>
          <w:lang w:eastAsia="ar-SA"/>
        </w:rPr>
        <w:t>ECtHR</w:t>
      </w:r>
      <w:proofErr w:type="spellEnd"/>
      <w:r w:rsidRPr="00DC2CE0">
        <w:rPr>
          <w:lang w:eastAsia="ar-SA"/>
        </w:rPr>
        <w:t xml:space="preserve">, </w:t>
      </w:r>
      <w:proofErr w:type="spellStart"/>
      <w:r w:rsidRPr="00DC2CE0">
        <w:rPr>
          <w:i/>
          <w:lang w:eastAsia="ar-SA"/>
        </w:rPr>
        <w:t>Palić</w:t>
      </w:r>
      <w:proofErr w:type="spellEnd"/>
      <w:r w:rsidRPr="00DC2CE0">
        <w:rPr>
          <w:i/>
          <w:lang w:eastAsia="ar-SA"/>
        </w:rPr>
        <w:t xml:space="preserve"> v. Bosnia and Herzegovina</w:t>
      </w:r>
      <w:r w:rsidRPr="00DC2CE0">
        <w:rPr>
          <w:lang w:eastAsia="ar-SA"/>
        </w:rPr>
        <w:t xml:space="preserve">, cited § </w:t>
      </w:r>
      <w:r w:rsidR="00B97474" w:rsidRPr="00DC2CE0">
        <w:rPr>
          <w:lang w:eastAsia="ar-SA"/>
        </w:rPr>
        <w:t>73</w:t>
      </w:r>
      <w:r w:rsidRPr="00DC2CE0">
        <w:rPr>
          <w:lang w:eastAsia="ar-SA"/>
        </w:rPr>
        <w:t xml:space="preserve"> above, </w:t>
      </w:r>
      <w:proofErr w:type="spellStart"/>
      <w:r w:rsidRPr="00DC2CE0">
        <w:rPr>
          <w:i/>
          <w:lang w:eastAsia="ar-SA"/>
        </w:rPr>
        <w:t>Brecknell</w:t>
      </w:r>
      <w:proofErr w:type="spellEnd"/>
      <w:r w:rsidRPr="00DC2CE0">
        <w:rPr>
          <w:i/>
          <w:lang w:eastAsia="ar-SA"/>
        </w:rPr>
        <w:t xml:space="preserve"> v. The United Kingdom</w:t>
      </w:r>
      <w:r w:rsidRPr="00DC2CE0">
        <w:rPr>
          <w:lang w:eastAsia="ar-SA"/>
        </w:rPr>
        <w:t>, no. 32457/04, 27 November 2007, § 70).</w:t>
      </w:r>
    </w:p>
    <w:p w:rsidR="00EC6FD7" w:rsidRPr="00DC2CE0" w:rsidRDefault="00EC6FD7" w:rsidP="00EC6FD7">
      <w:pPr>
        <w:pStyle w:val="MediumGrid1-Accent21"/>
        <w:tabs>
          <w:tab w:val="left" w:pos="360"/>
        </w:tabs>
        <w:ind w:left="360" w:hanging="360"/>
        <w:rPr>
          <w:lang w:val="en-GB"/>
        </w:rPr>
      </w:pPr>
    </w:p>
    <w:p w:rsidR="000F156B" w:rsidRPr="00DC2CE0" w:rsidRDefault="00EC6FD7" w:rsidP="001707FB">
      <w:pPr>
        <w:numPr>
          <w:ilvl w:val="0"/>
          <w:numId w:val="2"/>
        </w:numPr>
        <w:tabs>
          <w:tab w:val="left" w:pos="360"/>
        </w:tabs>
        <w:suppressAutoHyphens/>
        <w:autoSpaceDE w:val="0"/>
        <w:jc w:val="both"/>
        <w:rPr>
          <w:rStyle w:val="sb8d990e2"/>
        </w:rPr>
      </w:pPr>
      <w:bookmarkStart w:id="24" w:name="_Ref350958718"/>
      <w:r w:rsidRPr="00DC2CE0">
        <w:rPr>
          <w:rStyle w:val="sb8d990e2"/>
        </w:rPr>
        <w:t xml:space="preserve">The Panel further notes that its task is not to review relevant practices or alleged obstacles to the conduct of effective investigations </w:t>
      </w:r>
      <w:r w:rsidRPr="00DC2CE0">
        <w:rPr>
          <w:rStyle w:val="s6b621b36"/>
          <w:i/>
        </w:rPr>
        <w:t xml:space="preserve">in </w:t>
      </w:r>
      <w:proofErr w:type="spellStart"/>
      <w:r w:rsidRPr="00DC2CE0">
        <w:rPr>
          <w:rStyle w:val="wordhighlighted"/>
          <w:i/>
        </w:rPr>
        <w:t>abstracto</w:t>
      </w:r>
      <w:proofErr w:type="spellEnd"/>
      <w:r w:rsidRPr="00DC2CE0">
        <w:rPr>
          <w:rStyle w:val="sb8d990e2"/>
        </w:rPr>
        <w:t xml:space="preserve">, but only in relation to their specific application to the particular circumstances of a situation subject of a complaint before it (see, </w:t>
      </w:r>
      <w:proofErr w:type="spellStart"/>
      <w:r w:rsidRPr="00DC2CE0">
        <w:rPr>
          <w:rStyle w:val="sb8d990e2"/>
        </w:rPr>
        <w:t>ECtHR</w:t>
      </w:r>
      <w:proofErr w:type="spellEnd"/>
      <w:r w:rsidRPr="00DC2CE0">
        <w:rPr>
          <w:rStyle w:val="sb8d990e2"/>
        </w:rPr>
        <w:t xml:space="preserve">, </w:t>
      </w:r>
      <w:r w:rsidRPr="00DC2CE0">
        <w:rPr>
          <w:rStyle w:val="s6b621b36"/>
          <w:i/>
        </w:rPr>
        <w:t>Brogan and Others v. the United Kingdom</w:t>
      </w:r>
      <w:r w:rsidRPr="00DC2CE0">
        <w:rPr>
          <w:rStyle w:val="sb8d990e2"/>
        </w:rPr>
        <w:t xml:space="preserve">, </w:t>
      </w:r>
      <w:r w:rsidRPr="00DC2CE0">
        <w:rPr>
          <w:rStyle w:val="column01"/>
        </w:rPr>
        <w:t>judgment of</w:t>
      </w:r>
      <w:r w:rsidRPr="00DC2CE0">
        <w:rPr>
          <w:rStyle w:val="sb8d990e2"/>
        </w:rPr>
        <w:t xml:space="preserve"> 29 November 1988,</w:t>
      </w:r>
      <w:r w:rsidRPr="00DC2CE0">
        <w:t xml:space="preserve"> </w:t>
      </w:r>
      <w:r w:rsidRPr="00DC2CE0">
        <w:rPr>
          <w:rStyle w:val="sb8d990e2"/>
        </w:rPr>
        <w:t xml:space="preserve">§ 53, Series A no. 145-B). </w:t>
      </w:r>
      <w:r w:rsidRPr="00DC2CE0">
        <w:t xml:space="preserve">The Panel thus agrees with the SRSG that the nature and degree of scrutiny to determine whether the effectiveness of the investigation satisfies the minimum threshold depends on the circumstances of the particular case. </w:t>
      </w:r>
      <w:r w:rsidRPr="00DC2CE0">
        <w:rPr>
          <w:rStyle w:val="sb8d990e2"/>
        </w:rPr>
        <w:t>For these reasons, the Panel considers that it will establish with regard to each case if all reasonable steps were taken to conduct an effective investigation as prescribed by Article 2,</w:t>
      </w:r>
      <w:r w:rsidRPr="00DC2CE0">
        <w:t xml:space="preserve"> </w:t>
      </w:r>
      <w:r w:rsidRPr="00DC2CE0">
        <w:rPr>
          <w:rStyle w:val="sb8d990e2"/>
        </w:rPr>
        <w:t>having regard to the realities of the investigative work in Kosovo</w:t>
      </w:r>
      <w:bookmarkStart w:id="25" w:name="_Ref354422702"/>
      <w:bookmarkEnd w:id="24"/>
      <w:r w:rsidR="000F156B" w:rsidRPr="00DC2CE0">
        <w:rPr>
          <w:rStyle w:val="sb8d990e2"/>
        </w:rPr>
        <w:t>.</w:t>
      </w:r>
    </w:p>
    <w:p w:rsidR="000F156B" w:rsidRPr="00DC2CE0" w:rsidRDefault="000F156B" w:rsidP="000F156B">
      <w:pPr>
        <w:suppressAutoHyphens/>
        <w:autoSpaceDE w:val="0"/>
        <w:jc w:val="both"/>
        <w:rPr>
          <w:rStyle w:val="sb8d990e2"/>
          <w:i/>
        </w:rPr>
      </w:pPr>
    </w:p>
    <w:p w:rsidR="000F156B" w:rsidRPr="00DC2CE0" w:rsidRDefault="00AE57DF" w:rsidP="00AE57DF">
      <w:pPr>
        <w:suppressAutoHyphens/>
        <w:autoSpaceDE w:val="0"/>
        <w:jc w:val="both"/>
        <w:rPr>
          <w:rStyle w:val="sb8d990e2"/>
        </w:rPr>
      </w:pPr>
      <w:r w:rsidRPr="00DC2CE0">
        <w:rPr>
          <w:rStyle w:val="sb8d990e2"/>
          <w:i/>
        </w:rPr>
        <w:t xml:space="preserve">d) </w:t>
      </w:r>
      <w:r w:rsidR="000F156B" w:rsidRPr="00DC2CE0">
        <w:rPr>
          <w:rStyle w:val="sb8d990e2"/>
          <w:i/>
        </w:rPr>
        <w:t>Compliance with Article 2 in the present case</w:t>
      </w:r>
      <w:r w:rsidR="00F137A4" w:rsidRPr="00DC2CE0">
        <w:rPr>
          <w:rStyle w:val="sb8d990e2"/>
          <w:i/>
        </w:rPr>
        <w:t>s</w:t>
      </w:r>
    </w:p>
    <w:p w:rsidR="000F156B" w:rsidRPr="00DC2CE0" w:rsidRDefault="000F156B" w:rsidP="000F156B">
      <w:pPr>
        <w:pStyle w:val="ListParagraph"/>
        <w:rPr>
          <w:bCs/>
        </w:rPr>
      </w:pPr>
    </w:p>
    <w:p w:rsidR="00643DBA" w:rsidRPr="00DC2CE0" w:rsidRDefault="00643DBA" w:rsidP="00643DBA">
      <w:pPr>
        <w:pStyle w:val="ListParagraph"/>
        <w:numPr>
          <w:ilvl w:val="0"/>
          <w:numId w:val="15"/>
        </w:numPr>
        <w:jc w:val="both"/>
      </w:pPr>
      <w:r w:rsidRPr="00DC2CE0">
        <w:rPr>
          <w:bCs/>
        </w:rPr>
        <w:t>Turning to the particular circumstances of this case,</w:t>
      </w:r>
      <w:r w:rsidRPr="00DC2CE0">
        <w:t xml:space="preserve"> the complainant states that Mr </w:t>
      </w:r>
      <w:proofErr w:type="spellStart"/>
      <w:r w:rsidRPr="00DC2CE0">
        <w:t>Pavić’s</w:t>
      </w:r>
      <w:proofErr w:type="spellEnd"/>
      <w:r w:rsidRPr="00DC2CE0">
        <w:t xml:space="preserve"> abduction was reported promptly to </w:t>
      </w:r>
      <w:r w:rsidR="00AB0FE5" w:rsidRPr="00DC2CE0">
        <w:rPr>
          <w:bCs/>
        </w:rPr>
        <w:t xml:space="preserve">UNMIK </w:t>
      </w:r>
      <w:r w:rsidR="00901CA7" w:rsidRPr="00DC2CE0">
        <w:rPr>
          <w:bCs/>
        </w:rPr>
        <w:t>and KFOR</w:t>
      </w:r>
      <w:r w:rsidRPr="00DC2CE0">
        <w:t xml:space="preserve">. Lacking specific documentation in this regard, the Panel considers that UNMIK became aware of Mr </w:t>
      </w:r>
      <w:proofErr w:type="spellStart"/>
      <w:r w:rsidRPr="00DC2CE0">
        <w:t>Pavić’s</w:t>
      </w:r>
      <w:proofErr w:type="spellEnd"/>
      <w:r w:rsidRPr="00DC2CE0">
        <w:t xml:space="preserve"> abduction at the latest by 30 September 1999 (see § </w:t>
      </w:r>
      <w:r w:rsidR="00B97474" w:rsidRPr="00DC2CE0">
        <w:t>32</w:t>
      </w:r>
      <w:r w:rsidRPr="00DC2CE0">
        <w:t xml:space="preserve"> above).</w:t>
      </w:r>
    </w:p>
    <w:p w:rsidR="009724CC" w:rsidRPr="00DC2CE0" w:rsidRDefault="0022302B" w:rsidP="0022302B">
      <w:pPr>
        <w:suppressAutoHyphens/>
        <w:autoSpaceDE w:val="0"/>
        <w:ind w:left="360"/>
        <w:jc w:val="both"/>
      </w:pPr>
      <w:r w:rsidRPr="00DC2CE0">
        <w:t xml:space="preserve"> </w:t>
      </w:r>
    </w:p>
    <w:p w:rsidR="00CB1C7D" w:rsidRPr="00DC2CE0" w:rsidRDefault="0022302B" w:rsidP="00643DBA">
      <w:pPr>
        <w:numPr>
          <w:ilvl w:val="0"/>
          <w:numId w:val="15"/>
        </w:numPr>
        <w:suppressAutoHyphens/>
        <w:autoSpaceDE w:val="0"/>
        <w:jc w:val="both"/>
      </w:pPr>
      <w:r w:rsidRPr="00DC2CE0">
        <w:t xml:space="preserve">In this regard, </w:t>
      </w:r>
      <w:r w:rsidR="00CB1C7D" w:rsidRPr="00DC2CE0">
        <w:t>the Panel first addresses the issue of the burden of proof. At the admissibility stage, the Panel was satisfied that the complainant</w:t>
      </w:r>
      <w:r w:rsidR="00AB0FE5" w:rsidRPr="00DC2CE0">
        <w:t>’</w:t>
      </w:r>
      <w:r w:rsidR="00CB1C7D" w:rsidRPr="00DC2CE0">
        <w:t xml:space="preserve">s allegations were not groundless, thus it accepted the existence of a </w:t>
      </w:r>
      <w:r w:rsidR="00CB1C7D" w:rsidRPr="00DC2CE0">
        <w:rPr>
          <w:i/>
        </w:rPr>
        <w:t>prima facie</w:t>
      </w:r>
      <w:r w:rsidR="007E02B7" w:rsidRPr="00DC2CE0">
        <w:t xml:space="preserve"> case: that </w:t>
      </w:r>
      <w:r w:rsidR="00643DBA" w:rsidRPr="00DC2CE0">
        <w:t xml:space="preserve">Mr </w:t>
      </w:r>
      <w:proofErr w:type="spellStart"/>
      <w:r w:rsidR="00643DBA" w:rsidRPr="00DC2CE0">
        <w:t>Pavić</w:t>
      </w:r>
      <w:proofErr w:type="spellEnd"/>
      <w:r w:rsidR="00CB1C7D" w:rsidRPr="00DC2CE0">
        <w:t xml:space="preserve"> disappeared in life threatening circum</w:t>
      </w:r>
      <w:r w:rsidR="00574244" w:rsidRPr="00DC2CE0">
        <w:t>stances and that</w:t>
      </w:r>
      <w:r w:rsidR="00444912" w:rsidRPr="00DC2CE0">
        <w:t xml:space="preserve"> </w:t>
      </w:r>
      <w:r w:rsidR="0058721F" w:rsidRPr="00DC2CE0">
        <w:t xml:space="preserve">UNMIK </w:t>
      </w:r>
      <w:r w:rsidR="00444912" w:rsidRPr="00DC2CE0">
        <w:t>had become aware</w:t>
      </w:r>
      <w:r w:rsidR="0058721F" w:rsidRPr="00DC2CE0">
        <w:t xml:space="preserve"> of their abduction at </w:t>
      </w:r>
      <w:r w:rsidR="005303C7" w:rsidRPr="00DC2CE0">
        <w:t xml:space="preserve">the latest on </w:t>
      </w:r>
      <w:r w:rsidR="00643DBA" w:rsidRPr="00DC2CE0">
        <w:t>30</w:t>
      </w:r>
      <w:r w:rsidR="005303C7" w:rsidRPr="00DC2CE0">
        <w:t xml:space="preserve"> </w:t>
      </w:r>
      <w:r w:rsidR="00643DBA" w:rsidRPr="00DC2CE0">
        <w:t>September</w:t>
      </w:r>
      <w:r w:rsidR="005303C7" w:rsidRPr="00DC2CE0">
        <w:t xml:space="preserve"> 1999 </w:t>
      </w:r>
      <w:r w:rsidR="0058721F" w:rsidRPr="00DC2CE0">
        <w:t>(see §</w:t>
      </w:r>
      <w:r w:rsidR="005303C7" w:rsidRPr="00DC2CE0">
        <w:t xml:space="preserve"> </w:t>
      </w:r>
      <w:r w:rsidR="00B97474" w:rsidRPr="00DC2CE0">
        <w:t>32</w:t>
      </w:r>
      <w:r w:rsidR="0058721F" w:rsidRPr="00DC2CE0">
        <w:t xml:space="preserve"> above)</w:t>
      </w:r>
      <w:r w:rsidR="00CB1C7D" w:rsidRPr="00DC2CE0">
        <w:t>.</w:t>
      </w:r>
    </w:p>
    <w:p w:rsidR="00CB1C7D" w:rsidRPr="00DC2CE0" w:rsidRDefault="00CB1C7D" w:rsidP="00CB1C7D">
      <w:pPr>
        <w:tabs>
          <w:tab w:val="left" w:pos="360"/>
        </w:tabs>
        <w:suppressAutoHyphens/>
        <w:autoSpaceDE w:val="0"/>
        <w:ind w:left="360"/>
        <w:jc w:val="both"/>
      </w:pPr>
    </w:p>
    <w:p w:rsidR="00CB1C7D" w:rsidRPr="00DC2CE0" w:rsidRDefault="00CB1C7D" w:rsidP="00643DBA">
      <w:pPr>
        <w:numPr>
          <w:ilvl w:val="0"/>
          <w:numId w:val="15"/>
        </w:numPr>
        <w:tabs>
          <w:tab w:val="left" w:pos="360"/>
        </w:tabs>
        <w:suppressAutoHyphens/>
        <w:autoSpaceDE w:val="0"/>
        <w:jc w:val="both"/>
      </w:pPr>
      <w:r w:rsidRPr="00DC2CE0">
        <w:t xml:space="preserve">Accordingly, applying the principles discussed above (see §§ </w:t>
      </w:r>
      <w:r w:rsidR="00B97474" w:rsidRPr="00DC2CE0">
        <w:t>65</w:t>
      </w:r>
      <w:r w:rsidR="00444912" w:rsidRPr="00DC2CE0">
        <w:t>-</w:t>
      </w:r>
      <w:r w:rsidR="00B97474" w:rsidRPr="00DC2CE0">
        <w:t>68</w:t>
      </w:r>
      <w:r w:rsidR="00643DBA" w:rsidRPr="00DC2CE0">
        <w:t xml:space="preserve"> above</w:t>
      </w:r>
      <w:r w:rsidRPr="00DC2CE0">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w:t>
      </w:r>
      <w:r w:rsidR="00444912" w:rsidRPr="00DC2CE0">
        <w:t xml:space="preserve"> as it has neither presented a complete</w:t>
      </w:r>
      <w:r w:rsidRPr="00DC2CE0">
        <w:t xml:space="preserve"> investigative file, nor has it in a “satisfactory and convincing” way explained its failure to do so. Accordingly, the Panel will draw inferences from this situation.</w:t>
      </w:r>
    </w:p>
    <w:p w:rsidR="00CB1C7D" w:rsidRPr="00DC2CE0" w:rsidRDefault="00CB1C7D" w:rsidP="00CB1C7D">
      <w:pPr>
        <w:tabs>
          <w:tab w:val="left" w:pos="360"/>
        </w:tabs>
        <w:suppressAutoHyphens/>
        <w:autoSpaceDE w:val="0"/>
        <w:ind w:left="360"/>
        <w:jc w:val="both"/>
      </w:pPr>
    </w:p>
    <w:p w:rsidR="00CB1C7D" w:rsidRPr="00DC2CE0" w:rsidRDefault="00CB1C7D" w:rsidP="00643DBA">
      <w:pPr>
        <w:numPr>
          <w:ilvl w:val="0"/>
          <w:numId w:val="15"/>
        </w:numPr>
        <w:tabs>
          <w:tab w:val="left" w:pos="360"/>
        </w:tabs>
        <w:suppressAutoHyphens/>
        <w:autoSpaceDE w:val="0"/>
        <w:jc w:val="both"/>
      </w:pPr>
      <w:r w:rsidRPr="00DC2CE0">
        <w:t xml:space="preserve">The Panel notes that according to the 2000 Annual Report of UNMIK Police, at least from mid-September 1999 the whole system of criminal investigation in </w:t>
      </w:r>
      <w:proofErr w:type="spellStart"/>
      <w:r w:rsidRPr="00DC2CE0">
        <w:t>Prishtinë</w:t>
      </w:r>
      <w:proofErr w:type="spellEnd"/>
      <w:r w:rsidRPr="00DC2CE0">
        <w:t>/</w:t>
      </w:r>
      <w:proofErr w:type="spellStart"/>
      <w:r w:rsidRPr="00DC2CE0">
        <w:t>Pri</w:t>
      </w:r>
      <w:r w:rsidR="00901CA7">
        <w:t>š</w:t>
      </w:r>
      <w:r w:rsidRPr="00DC2CE0">
        <w:t>tina</w:t>
      </w:r>
      <w:proofErr w:type="spellEnd"/>
      <w:r w:rsidRPr="00DC2CE0">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B97474" w:rsidRPr="00DC2CE0">
        <w:t>21</w:t>
      </w:r>
      <w:r w:rsidRPr="00DC2CE0">
        <w:t xml:space="preserve"> above); and third, that the investigative files could be traced and retrieved, should a need  arise at any later stage.</w:t>
      </w:r>
    </w:p>
    <w:p w:rsidR="00CB1C7D" w:rsidRPr="00DC2CE0" w:rsidRDefault="00CB1C7D" w:rsidP="00CB1C7D">
      <w:pPr>
        <w:tabs>
          <w:tab w:val="left" w:pos="360"/>
        </w:tabs>
        <w:suppressAutoHyphens/>
        <w:autoSpaceDE w:val="0"/>
        <w:ind w:left="360"/>
        <w:jc w:val="both"/>
      </w:pPr>
    </w:p>
    <w:p w:rsidR="00CB1C7D" w:rsidRPr="00DC2CE0" w:rsidRDefault="00CB1C7D" w:rsidP="00643DBA">
      <w:pPr>
        <w:numPr>
          <w:ilvl w:val="0"/>
          <w:numId w:val="15"/>
        </w:numPr>
        <w:tabs>
          <w:tab w:val="left" w:pos="360"/>
        </w:tabs>
        <w:suppressAutoHyphens/>
        <w:autoSpaceDE w:val="0"/>
        <w:jc w:val="both"/>
      </w:pPr>
      <w:r w:rsidRPr="00DC2CE0">
        <w:t>The Panel infers from the</w:t>
      </w:r>
      <w:r w:rsidR="0004752F" w:rsidRPr="00DC2CE0">
        <w:t xml:space="preserve"> limited content of the </w:t>
      </w:r>
      <w:r w:rsidRPr="00DC2CE0">
        <w:t>investigative file</w:t>
      </w:r>
      <w:r w:rsidR="00A439C1" w:rsidRPr="00DC2CE0">
        <w:t xml:space="preserve"> </w:t>
      </w:r>
      <w:r w:rsidRPr="00DC2CE0">
        <w:t>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w:t>
      </w:r>
      <w:r w:rsidR="00444912" w:rsidRPr="00DC2CE0">
        <w:t xml:space="preserve">ulation No. 2006/12 (cited in § </w:t>
      </w:r>
      <w:r w:rsidR="00B97474" w:rsidRPr="00DC2CE0">
        <w:t>62</w:t>
      </w:r>
      <w:r w:rsidRPr="00DC2CE0">
        <w:t xml:space="preserve"> above); the file was not properly handed over to EULEX; or UNMIK failed to retrieve the file from the current custodian.</w:t>
      </w:r>
    </w:p>
    <w:p w:rsidR="00CB1C7D" w:rsidRPr="00DC2CE0" w:rsidRDefault="00CB1C7D" w:rsidP="00CB1C7D">
      <w:pPr>
        <w:tabs>
          <w:tab w:val="left" w:pos="360"/>
        </w:tabs>
        <w:suppressAutoHyphens/>
        <w:autoSpaceDE w:val="0"/>
        <w:ind w:left="360"/>
        <w:jc w:val="both"/>
      </w:pPr>
    </w:p>
    <w:p w:rsidR="00422992" w:rsidRPr="00DC2CE0" w:rsidRDefault="00CB1C7D" w:rsidP="00643DBA">
      <w:pPr>
        <w:numPr>
          <w:ilvl w:val="0"/>
          <w:numId w:val="15"/>
        </w:numPr>
        <w:tabs>
          <w:tab w:val="left" w:pos="360"/>
        </w:tabs>
        <w:suppressAutoHyphens/>
        <w:autoSpaceDE w:val="0"/>
        <w:jc w:val="both"/>
      </w:pPr>
      <w:r w:rsidRPr="00DC2CE0">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131034" w:rsidRPr="00DC2CE0" w:rsidRDefault="00131034" w:rsidP="00100191">
      <w:pPr>
        <w:rPr>
          <w:highlight w:val="yellow"/>
        </w:rPr>
      </w:pPr>
    </w:p>
    <w:p w:rsidR="007E5B14" w:rsidRPr="00DC2CE0" w:rsidRDefault="00131034" w:rsidP="007E5B14">
      <w:pPr>
        <w:numPr>
          <w:ilvl w:val="0"/>
          <w:numId w:val="15"/>
        </w:numPr>
        <w:suppressAutoHyphens/>
        <w:autoSpaceDE w:val="0"/>
        <w:jc w:val="both"/>
      </w:pPr>
      <w:r w:rsidRPr="00DC2CE0">
        <w:t>The Panel notes that there were obvious shortcomings in the conduct of the investigation</w:t>
      </w:r>
      <w:r w:rsidR="00386FEF" w:rsidRPr="00DC2CE0">
        <w:t>s</w:t>
      </w:r>
      <w:r w:rsidRPr="00DC2CE0">
        <w:t xml:space="preserve"> sinc</w:t>
      </w:r>
      <w:r w:rsidR="00FB1606" w:rsidRPr="00DC2CE0">
        <w:t>e their</w:t>
      </w:r>
      <w:r w:rsidRPr="00DC2CE0">
        <w:t xml:space="preserve"> inception</w:t>
      </w:r>
      <w:r w:rsidR="00100191" w:rsidRPr="00DC2CE0">
        <w:t xml:space="preserve">, having in mind that the initial stage </w:t>
      </w:r>
      <w:r w:rsidR="0090251F" w:rsidRPr="00DC2CE0">
        <w:t xml:space="preserve">of the investigation is of the </w:t>
      </w:r>
      <w:r w:rsidR="00100191" w:rsidRPr="00DC2CE0">
        <w:t>utmost importance</w:t>
      </w:r>
      <w:r w:rsidRPr="00DC2CE0">
        <w:t xml:space="preserve">. </w:t>
      </w:r>
      <w:r w:rsidR="00FB1606" w:rsidRPr="00DC2CE0">
        <w:t xml:space="preserve">However, in light of the considerations developed above concerning its limited temporal jurisdiction (see § </w:t>
      </w:r>
      <w:r w:rsidR="00B97474" w:rsidRPr="00DC2CE0">
        <w:t>51</w:t>
      </w:r>
      <w:r w:rsidR="00FB1606" w:rsidRPr="00DC2CE0">
        <w:t xml:space="preserve">), the Panel recalls that it is competent </w:t>
      </w:r>
      <w:proofErr w:type="spellStart"/>
      <w:r w:rsidR="00FB1606" w:rsidRPr="00DC2CE0">
        <w:rPr>
          <w:i/>
        </w:rPr>
        <w:t>ratione</w:t>
      </w:r>
      <w:proofErr w:type="spellEnd"/>
      <w:r w:rsidR="00FB1606" w:rsidRPr="00DC2CE0">
        <w:rPr>
          <w:i/>
        </w:rPr>
        <w:t xml:space="preserve"> </w:t>
      </w:r>
      <w:proofErr w:type="spellStart"/>
      <w:r w:rsidR="00FB1606" w:rsidRPr="00DC2CE0">
        <w:rPr>
          <w:i/>
        </w:rPr>
        <w:t>temporis</w:t>
      </w:r>
      <w:proofErr w:type="spellEnd"/>
      <w:r w:rsidR="00FB1606" w:rsidRPr="00DC2CE0">
        <w:t xml:space="preserve"> to evaluate the compliance of the investigation</w:t>
      </w:r>
      <w:r w:rsidR="00386FEF" w:rsidRPr="00DC2CE0">
        <w:t>s</w:t>
      </w:r>
      <w:r w:rsidR="00FB1606" w:rsidRPr="00DC2CE0">
        <w:t xml:space="preserve"> with Article 2 of the ECHR only for the period after 23 April 2005, while taking into consideration the state of the case at that date (</w:t>
      </w:r>
      <w:proofErr w:type="spellStart"/>
      <w:r w:rsidR="00FB1606" w:rsidRPr="00DC2CE0">
        <w:t>ECtHR</w:t>
      </w:r>
      <w:proofErr w:type="spellEnd"/>
      <w:r w:rsidR="00FB1606" w:rsidRPr="00DC2CE0">
        <w:t xml:space="preserve">, </w:t>
      </w:r>
      <w:proofErr w:type="spellStart"/>
      <w:r w:rsidR="00FB1606" w:rsidRPr="00DC2CE0">
        <w:rPr>
          <w:i/>
        </w:rPr>
        <w:t>Palić</w:t>
      </w:r>
      <w:proofErr w:type="spellEnd"/>
      <w:r w:rsidR="00FB1606" w:rsidRPr="00DC2CE0">
        <w:rPr>
          <w:i/>
        </w:rPr>
        <w:t xml:space="preserve"> v. Bosnia and Herzegovina</w:t>
      </w:r>
      <w:r w:rsidR="00FB1606" w:rsidRPr="00DC2CE0">
        <w:t xml:space="preserve">, cited in § </w:t>
      </w:r>
      <w:r w:rsidR="00B97474" w:rsidRPr="00DC2CE0">
        <w:t>73</w:t>
      </w:r>
      <w:r w:rsidR="00FB1606" w:rsidRPr="00DC2CE0">
        <w:t xml:space="preserve"> above, at § 70). The period under review ends on 9 December 2008, with EULEX taking over responsibility in the area of administration of justice (see §§ </w:t>
      </w:r>
      <w:r w:rsidR="00B97474" w:rsidRPr="00DC2CE0">
        <w:t>21</w:t>
      </w:r>
      <w:r w:rsidR="00444912" w:rsidRPr="00DC2CE0">
        <w:t>-</w:t>
      </w:r>
      <w:r w:rsidR="00B97474" w:rsidRPr="00DC2CE0">
        <w:t>22</w:t>
      </w:r>
      <w:r w:rsidR="00FB1606" w:rsidRPr="00DC2CE0">
        <w:t xml:space="preserve"> above).</w:t>
      </w:r>
    </w:p>
    <w:p w:rsidR="007E5B14" w:rsidRPr="00DC2CE0" w:rsidRDefault="007E5B14" w:rsidP="007E5B14">
      <w:pPr>
        <w:pStyle w:val="ListParagraph"/>
      </w:pPr>
    </w:p>
    <w:p w:rsidR="00F51B24" w:rsidRPr="00DC2CE0" w:rsidRDefault="006F1F84" w:rsidP="007E5B14">
      <w:pPr>
        <w:numPr>
          <w:ilvl w:val="0"/>
          <w:numId w:val="15"/>
        </w:numPr>
        <w:suppressAutoHyphens/>
        <w:autoSpaceDE w:val="0"/>
        <w:jc w:val="both"/>
      </w:pPr>
      <w:r w:rsidRPr="00DC2CE0">
        <w:t xml:space="preserve">There are indications that UNMIK Police took some investigative steps with respect to clarifying the circumstances surrounding Mr </w:t>
      </w:r>
      <w:proofErr w:type="spellStart"/>
      <w:r w:rsidRPr="00DC2CE0">
        <w:t>Pavić’s</w:t>
      </w:r>
      <w:proofErr w:type="spellEnd"/>
      <w:r w:rsidRPr="00DC2CE0">
        <w:t xml:space="preserve"> abduction such as: interviewing the owner of the vehicle </w:t>
      </w:r>
      <w:r w:rsidR="00AB0FE5" w:rsidRPr="00DC2CE0">
        <w:t xml:space="preserve">from where </w:t>
      </w:r>
      <w:r w:rsidR="007E5B14" w:rsidRPr="00DC2CE0">
        <w:t xml:space="preserve">the </w:t>
      </w:r>
      <w:r w:rsidRPr="00DC2CE0">
        <w:t>complainant</w:t>
      </w:r>
      <w:r w:rsidR="00AB0FE5" w:rsidRPr="00DC2CE0">
        <w:t>’</w:t>
      </w:r>
      <w:r w:rsidRPr="00DC2CE0">
        <w:t>s</w:t>
      </w:r>
      <w:r w:rsidR="00DD1A11" w:rsidRPr="00DC2CE0">
        <w:t xml:space="preserve"> husband</w:t>
      </w:r>
      <w:r w:rsidR="00AB0FE5" w:rsidRPr="00DC2CE0">
        <w:t>,</w:t>
      </w:r>
      <w:r w:rsidR="00DD1A11" w:rsidRPr="00DC2CE0">
        <w:t xml:space="preserve"> together with Mr</w:t>
      </w:r>
      <w:r w:rsidR="007E5B14" w:rsidRPr="00DC2CE0">
        <w:t xml:space="preserve"> G.M. and </w:t>
      </w:r>
      <w:r w:rsidR="00DD1A11" w:rsidRPr="00DC2CE0">
        <w:t xml:space="preserve">Mr </w:t>
      </w:r>
      <w:r w:rsidR="007E5B14" w:rsidRPr="00DC2CE0">
        <w:t>P.M.</w:t>
      </w:r>
      <w:r w:rsidR="00AB0FE5" w:rsidRPr="00DC2CE0">
        <w:t>,</w:t>
      </w:r>
      <w:r w:rsidR="007E5B14" w:rsidRPr="00DC2CE0">
        <w:t xml:space="preserve"> had been taken</w:t>
      </w:r>
      <w:r w:rsidR="00AB0FE5" w:rsidRPr="00DC2CE0">
        <w:t>,</w:t>
      </w:r>
      <w:r w:rsidR="007E5B14" w:rsidRPr="00DC2CE0">
        <w:t xml:space="preserve"> as well as arrang</w:t>
      </w:r>
      <w:r w:rsidR="00F51B24" w:rsidRPr="00DC2CE0">
        <w:t xml:space="preserve">ing “negotiations” </w:t>
      </w:r>
      <w:r w:rsidR="007E5B14" w:rsidRPr="00DC2CE0">
        <w:t xml:space="preserve">regarding locating where these individuals were being held (see § 36 above). </w:t>
      </w:r>
      <w:r w:rsidRPr="00DC2CE0">
        <w:t xml:space="preserve">However, </w:t>
      </w:r>
      <w:r w:rsidR="007E5B14" w:rsidRPr="00DC2CE0">
        <w:t>as one of the investigators in the case file indicates</w:t>
      </w:r>
      <w:r w:rsidR="00AB0FE5" w:rsidRPr="00DC2CE0">
        <w:t>,</w:t>
      </w:r>
      <w:r w:rsidR="007E5B14" w:rsidRPr="00DC2CE0">
        <w:t xml:space="preserve"> much of the investigation appears to have been “both confusing and misleading” with a lack of statements</w:t>
      </w:r>
      <w:r w:rsidR="00F51B24" w:rsidRPr="00DC2CE0">
        <w:t xml:space="preserve"> and documentation (see § </w:t>
      </w:r>
      <w:r w:rsidR="00B97474" w:rsidRPr="00DC2CE0">
        <w:t>35</w:t>
      </w:r>
      <w:r w:rsidR="00F51B24" w:rsidRPr="00DC2CE0">
        <w:t xml:space="preserve"> above)</w:t>
      </w:r>
      <w:r w:rsidR="007E5B14" w:rsidRPr="00DC2CE0">
        <w:t xml:space="preserve">. Indeed this can be evidenced by the fact that </w:t>
      </w:r>
      <w:r w:rsidRPr="00DC2CE0">
        <w:t xml:space="preserve">only </w:t>
      </w:r>
      <w:r w:rsidR="007E5B14" w:rsidRPr="00DC2CE0">
        <w:t>three</w:t>
      </w:r>
      <w:r w:rsidRPr="00DC2CE0">
        <w:t xml:space="preserve"> witness statements have been provided</w:t>
      </w:r>
      <w:r w:rsidR="007E5B14" w:rsidRPr="00DC2CE0">
        <w:t xml:space="preserve"> (one of which was the statement of </w:t>
      </w:r>
      <w:r w:rsidR="006E7EB0" w:rsidRPr="00DC2CE0">
        <w:t>Ms V.B.</w:t>
      </w:r>
      <w:r w:rsidR="007E5B14" w:rsidRPr="00DC2CE0">
        <w:t xml:space="preserve"> taken on two different occasions)</w:t>
      </w:r>
      <w:r w:rsidRPr="00DC2CE0">
        <w:t xml:space="preserve">; there is no record </w:t>
      </w:r>
      <w:r w:rsidR="00AB0FE5" w:rsidRPr="00DC2CE0">
        <w:t>of</w:t>
      </w:r>
      <w:r w:rsidRPr="00DC2CE0">
        <w:t xml:space="preserve"> the statement</w:t>
      </w:r>
      <w:r w:rsidR="007E5B14" w:rsidRPr="00DC2CE0">
        <w:t xml:space="preserve"> of </w:t>
      </w:r>
      <w:r w:rsidRPr="00DC2CE0">
        <w:t>the complainant</w:t>
      </w:r>
      <w:r w:rsidR="00AB0FE5" w:rsidRPr="00DC2CE0">
        <w:t>,</w:t>
      </w:r>
      <w:r w:rsidRPr="00DC2CE0">
        <w:t xml:space="preserve"> Mrs </w:t>
      </w:r>
      <w:proofErr w:type="spellStart"/>
      <w:r w:rsidR="007E5B14" w:rsidRPr="00DC2CE0">
        <w:rPr>
          <w:bCs/>
        </w:rPr>
        <w:t>Stana</w:t>
      </w:r>
      <w:proofErr w:type="spellEnd"/>
      <w:r w:rsidR="007E5B14" w:rsidRPr="00DC2CE0">
        <w:rPr>
          <w:bCs/>
        </w:rPr>
        <w:t xml:space="preserve"> </w:t>
      </w:r>
      <w:proofErr w:type="spellStart"/>
      <w:r w:rsidR="007E5B14" w:rsidRPr="00DC2CE0">
        <w:rPr>
          <w:bCs/>
        </w:rPr>
        <w:t>Pavić</w:t>
      </w:r>
      <w:proofErr w:type="spellEnd"/>
      <w:r w:rsidR="00AB0FE5" w:rsidRPr="00DC2CE0">
        <w:rPr>
          <w:bCs/>
        </w:rPr>
        <w:t>,</w:t>
      </w:r>
      <w:r w:rsidR="007E5B14" w:rsidRPr="00DC2CE0">
        <w:rPr>
          <w:bCs/>
        </w:rPr>
        <w:t xml:space="preserve"> </w:t>
      </w:r>
      <w:r w:rsidR="007E5B14" w:rsidRPr="00DC2CE0">
        <w:t xml:space="preserve">or </w:t>
      </w:r>
      <w:r w:rsidR="00F51B24" w:rsidRPr="00DC2CE0">
        <w:t xml:space="preserve">statements of </w:t>
      </w:r>
      <w:r w:rsidR="00AB0FE5" w:rsidRPr="00DC2CE0">
        <w:t xml:space="preserve">other </w:t>
      </w:r>
      <w:r w:rsidR="00F51B24" w:rsidRPr="00DC2CE0">
        <w:t xml:space="preserve">potential witnesses, in particular the two civilians who were stopped two hours later at the same location (see § </w:t>
      </w:r>
      <w:r w:rsidR="00B97474" w:rsidRPr="00DC2CE0">
        <w:t>34</w:t>
      </w:r>
      <w:r w:rsidR="00F51B24" w:rsidRPr="00DC2CE0">
        <w:t xml:space="preserve"> above) having been taken. </w:t>
      </w:r>
    </w:p>
    <w:p w:rsidR="00F51B24" w:rsidRPr="00DC2CE0" w:rsidRDefault="00F51B24" w:rsidP="00F51B24">
      <w:pPr>
        <w:pStyle w:val="ListParagraph"/>
      </w:pPr>
    </w:p>
    <w:p w:rsidR="00BB637F" w:rsidRPr="00DC2CE0" w:rsidRDefault="00F51B24" w:rsidP="00BB637F">
      <w:pPr>
        <w:pStyle w:val="ListParagraph"/>
        <w:numPr>
          <w:ilvl w:val="0"/>
          <w:numId w:val="15"/>
        </w:numPr>
        <w:suppressAutoHyphens/>
        <w:autoSpaceDE w:val="0"/>
        <w:jc w:val="both"/>
      </w:pPr>
      <w:r w:rsidRPr="00DC2CE0">
        <w:t>The file also highlights that UNMIK were aware of possible suspects in the case. As indicated</w:t>
      </w:r>
      <w:r w:rsidR="00AB0FE5" w:rsidRPr="00DC2CE0">
        <w:t>,</w:t>
      </w:r>
      <w:r w:rsidRPr="00DC2CE0">
        <w:t xml:space="preserve"> their priority appears to have been </w:t>
      </w:r>
      <w:r w:rsidR="00AB0FE5" w:rsidRPr="00DC2CE0">
        <w:t xml:space="preserve">identifying </w:t>
      </w:r>
      <w:r w:rsidRPr="00DC2CE0">
        <w:t xml:space="preserve">the location of the victim (see § </w:t>
      </w:r>
      <w:r w:rsidR="002C706F" w:rsidRPr="00DC2CE0">
        <w:t>33</w:t>
      </w:r>
      <w:r w:rsidRPr="00DC2CE0">
        <w:t xml:space="preserve"> above). No attempt was made to undertake any investigation with regard to those suspected of being involved in the abduction</w:t>
      </w:r>
      <w:r w:rsidR="00AB0FE5" w:rsidRPr="00DC2CE0">
        <w:t>,</w:t>
      </w:r>
      <w:r w:rsidRPr="00DC2CE0">
        <w:t xml:space="preserve"> despite the fact that this may have assisted them in the overall investigation. </w:t>
      </w:r>
      <w:r w:rsidR="002E21F5" w:rsidRPr="00DC2CE0">
        <w:t>In addition</w:t>
      </w:r>
      <w:r w:rsidR="00AB0FE5" w:rsidRPr="00DC2CE0">
        <w:t>,</w:t>
      </w:r>
      <w:r w:rsidRPr="00DC2CE0">
        <w:t xml:space="preserve"> no effort was made even to visit the locations where the abductees were alleged to have been held. </w:t>
      </w:r>
    </w:p>
    <w:p w:rsidR="00BF4C07" w:rsidRPr="00DC2CE0" w:rsidRDefault="00BF4C07" w:rsidP="00BF4C07">
      <w:pPr>
        <w:pStyle w:val="ListParagraph"/>
        <w:rPr>
          <w:highlight w:val="yellow"/>
        </w:rPr>
      </w:pPr>
    </w:p>
    <w:p w:rsidR="00BF4C07" w:rsidRPr="00DC2CE0" w:rsidRDefault="00BF4C07" w:rsidP="00643DBA">
      <w:pPr>
        <w:numPr>
          <w:ilvl w:val="0"/>
          <w:numId w:val="15"/>
        </w:numPr>
        <w:suppressAutoHyphens/>
        <w:autoSpaceDE w:val="0"/>
        <w:jc w:val="both"/>
      </w:pPr>
      <w:r w:rsidRPr="00DC2CE0">
        <w:t>Coming to the period within its jurisdiction, the Panel notes that these basic investigative steps and follow-u</w:t>
      </w:r>
      <w:r w:rsidR="00BB637F" w:rsidRPr="00DC2CE0">
        <w:t>ps had not yet been carried out, such as locating and formally interviewing the complainant and other eye-witnesses to the abduction, locating and interviewing those individuals</w:t>
      </w:r>
      <w:r w:rsidR="00AE4160" w:rsidRPr="00DC2CE0">
        <w:t xml:space="preserve"> consistently</w:t>
      </w:r>
      <w:r w:rsidR="00BB637F" w:rsidRPr="00DC2CE0">
        <w:t xml:space="preserve"> ind</w:t>
      </w:r>
      <w:r w:rsidR="00AE4160" w:rsidRPr="00DC2CE0">
        <w:t xml:space="preserve">icated by different </w:t>
      </w:r>
      <w:r w:rsidR="00BB637F" w:rsidRPr="00DC2CE0">
        <w:t xml:space="preserve">witnesses as the potential perpetrators, locating </w:t>
      </w:r>
      <w:r w:rsidR="00BE256A" w:rsidRPr="00DC2CE0">
        <w:t xml:space="preserve">and inspecting the </w:t>
      </w:r>
      <w:r w:rsidR="00F51B24" w:rsidRPr="00DC2CE0">
        <w:t>location</w:t>
      </w:r>
      <w:r w:rsidR="00BE256A" w:rsidRPr="00DC2CE0">
        <w:t xml:space="preserve"> in which the victim </w:t>
      </w:r>
      <w:r w:rsidR="000D0069" w:rsidRPr="00DC2CE0">
        <w:t>was</w:t>
      </w:r>
      <w:r w:rsidR="00BE256A" w:rsidRPr="00DC2CE0">
        <w:t xml:space="preserve"> allegedly detained and the surrounding areas in</w:t>
      </w:r>
      <w:r w:rsidR="00AE4160" w:rsidRPr="00DC2CE0">
        <w:t xml:space="preserve"> order</w:t>
      </w:r>
      <w:r w:rsidR="00BE256A" w:rsidRPr="00DC2CE0">
        <w:t xml:space="preserve"> to search</w:t>
      </w:r>
      <w:r w:rsidR="00AE4160" w:rsidRPr="00DC2CE0">
        <w:t xml:space="preserve"> for</w:t>
      </w:r>
      <w:r w:rsidR="00BE256A" w:rsidRPr="00DC2CE0">
        <w:t xml:space="preserve"> traces of the victim. After that critical date the failure to conduct the necessary investigative actions persisted, thus, in accordance with the continuing obligation to investigate (see § </w:t>
      </w:r>
      <w:r w:rsidR="002C706F" w:rsidRPr="00DC2CE0">
        <w:t>75</w:t>
      </w:r>
      <w:r w:rsidR="00BE256A" w:rsidRPr="00DC2CE0">
        <w:t xml:space="preserve"> above), bringing the assessment of the whole investigation within the period of the Panel’s jurisdiction.</w:t>
      </w:r>
      <w:r w:rsidR="0043284C" w:rsidRPr="00DC2CE0">
        <w:t xml:space="preserve">  </w:t>
      </w:r>
    </w:p>
    <w:p w:rsidR="00BE256A" w:rsidRPr="00DC2CE0" w:rsidRDefault="00BE256A" w:rsidP="00BE256A">
      <w:pPr>
        <w:pStyle w:val="ListParagraph"/>
        <w:rPr>
          <w:highlight w:val="yellow"/>
        </w:rPr>
      </w:pPr>
    </w:p>
    <w:p w:rsidR="006E05AE" w:rsidRPr="00DC2CE0" w:rsidRDefault="006E05AE" w:rsidP="00643DBA">
      <w:pPr>
        <w:numPr>
          <w:ilvl w:val="0"/>
          <w:numId w:val="15"/>
        </w:numPr>
        <w:tabs>
          <w:tab w:val="left" w:pos="567"/>
        </w:tabs>
        <w:suppressAutoHyphens/>
        <w:autoSpaceDE w:val="0"/>
        <w:jc w:val="both"/>
      </w:pPr>
      <w:r w:rsidRPr="00DC2CE0">
        <w:t xml:space="preserve">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 well as </w:t>
      </w:r>
      <w:r w:rsidR="00D960DE" w:rsidRPr="00DC2CE0">
        <w:t xml:space="preserve">to inform the </w:t>
      </w:r>
      <w:r w:rsidR="00CA145A" w:rsidRPr="00DC2CE0">
        <w:t xml:space="preserve">relatives of </w:t>
      </w:r>
      <w:r w:rsidR="00651915" w:rsidRPr="00DC2CE0">
        <w:t xml:space="preserve">Mr </w:t>
      </w:r>
      <w:proofErr w:type="spellStart"/>
      <w:r w:rsidR="00651915" w:rsidRPr="00DC2CE0">
        <w:t>Pavić</w:t>
      </w:r>
      <w:proofErr w:type="spellEnd"/>
      <w:r w:rsidR="00D960DE" w:rsidRPr="00DC2CE0">
        <w:t xml:space="preserve"> </w:t>
      </w:r>
      <w:r w:rsidRPr="00DC2CE0">
        <w:t xml:space="preserve">regarding any possible new leads of enquiry. However, there is no indication that any such review was ever undertaken </w:t>
      </w:r>
      <w:r w:rsidR="00AE4160" w:rsidRPr="00DC2CE0">
        <w:t>after</w:t>
      </w:r>
      <w:r w:rsidRPr="00DC2CE0">
        <w:t xml:space="preserve"> </w:t>
      </w:r>
      <w:r w:rsidR="00651915" w:rsidRPr="00DC2CE0">
        <w:t>July</w:t>
      </w:r>
      <w:r w:rsidRPr="00DC2CE0">
        <w:t xml:space="preserve"> 200</w:t>
      </w:r>
      <w:r w:rsidR="00651915" w:rsidRPr="00DC2CE0">
        <w:t>4</w:t>
      </w:r>
      <w:r w:rsidRPr="00DC2CE0">
        <w:t>.</w:t>
      </w:r>
    </w:p>
    <w:p w:rsidR="006E05AE" w:rsidRPr="00DC2CE0" w:rsidRDefault="006E05AE" w:rsidP="006E05AE">
      <w:pPr>
        <w:suppressAutoHyphens/>
        <w:autoSpaceDE w:val="0"/>
        <w:ind w:left="360"/>
        <w:jc w:val="both"/>
      </w:pPr>
    </w:p>
    <w:p w:rsidR="006E05AE" w:rsidRPr="00DC2CE0" w:rsidRDefault="006E05AE" w:rsidP="00643DBA">
      <w:pPr>
        <w:numPr>
          <w:ilvl w:val="0"/>
          <w:numId w:val="15"/>
        </w:numPr>
        <w:tabs>
          <w:tab w:val="left" w:pos="567"/>
        </w:tabs>
        <w:suppressAutoHyphens/>
        <w:autoSpaceDE w:val="0"/>
        <w:jc w:val="both"/>
      </w:pPr>
      <w:r w:rsidRPr="00DC2CE0">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6E05AE" w:rsidRPr="00DC2CE0" w:rsidRDefault="006E05AE" w:rsidP="006E05AE">
      <w:pPr>
        <w:suppressAutoHyphens/>
        <w:autoSpaceDE w:val="0"/>
        <w:jc w:val="both"/>
      </w:pPr>
    </w:p>
    <w:p w:rsidR="006E05AE" w:rsidRPr="00DC2CE0" w:rsidRDefault="006E05AE" w:rsidP="00643DBA">
      <w:pPr>
        <w:numPr>
          <w:ilvl w:val="0"/>
          <w:numId w:val="15"/>
        </w:numPr>
        <w:tabs>
          <w:tab w:val="left" w:pos="567"/>
        </w:tabs>
        <w:suppressAutoHyphens/>
        <w:autoSpaceDE w:val="0"/>
        <w:jc w:val="both"/>
      </w:pPr>
      <w:r w:rsidRPr="00DC2CE0">
        <w:t xml:space="preserve">The Panel therefore considers that, having regard to all the circumstances of the particular case, no steps appear to have been taken by UNMIK to clarify the circumstances of </w:t>
      </w:r>
      <w:r w:rsidR="00651915" w:rsidRPr="00DC2CE0">
        <w:t xml:space="preserve">Mr </w:t>
      </w:r>
      <w:proofErr w:type="spellStart"/>
      <w:r w:rsidR="00651915" w:rsidRPr="00DC2CE0">
        <w:t>Pavić</w:t>
      </w:r>
      <w:r w:rsidRPr="00DC2CE0">
        <w:t>’s</w:t>
      </w:r>
      <w:proofErr w:type="spellEnd"/>
      <w:r w:rsidRPr="00DC2CE0">
        <w:t xml:space="preserve"> </w:t>
      </w:r>
      <w:r w:rsidR="00B847F3" w:rsidRPr="00DC2CE0">
        <w:t xml:space="preserve">abduction </w:t>
      </w:r>
      <w:r w:rsidR="00BA51D8" w:rsidRPr="00DC2CE0">
        <w:t>and bring the</w:t>
      </w:r>
      <w:r w:rsidRPr="00DC2CE0">
        <w:t xml:space="preserve"> perpetrators to justice. In this sense the Panel considers that the investigation was not adequate and did not comply with the requirements of promptness, expedition and effectiveness (see § </w:t>
      </w:r>
      <w:r w:rsidR="002C706F" w:rsidRPr="00DC2CE0">
        <w:t>73</w:t>
      </w:r>
      <w:r w:rsidRPr="00DC2CE0">
        <w:t xml:space="preserve"> a</w:t>
      </w:r>
      <w:r w:rsidR="00B847F3" w:rsidRPr="00DC2CE0">
        <w:t>bove), as required by Article 2.</w:t>
      </w:r>
    </w:p>
    <w:p w:rsidR="00B847F3" w:rsidRPr="00DC2CE0" w:rsidRDefault="00B847F3" w:rsidP="00B847F3">
      <w:pPr>
        <w:suppressAutoHyphens/>
        <w:autoSpaceDE w:val="0"/>
        <w:jc w:val="both"/>
      </w:pPr>
    </w:p>
    <w:p w:rsidR="00BA51D8" w:rsidRPr="00DC2CE0" w:rsidRDefault="006E05AE" w:rsidP="00643DBA">
      <w:pPr>
        <w:numPr>
          <w:ilvl w:val="0"/>
          <w:numId w:val="15"/>
        </w:numPr>
        <w:tabs>
          <w:tab w:val="left" w:pos="567"/>
        </w:tabs>
        <w:suppressAutoHyphens/>
        <w:autoSpaceDE w:val="0"/>
        <w:jc w:val="both"/>
      </w:pPr>
      <w:r w:rsidRPr="00DC2CE0">
        <w:t>As concerns the requirement of public scrutiny, the Panel recalls that Article 2 also requires</w:t>
      </w:r>
      <w:r w:rsidR="00BA51D8" w:rsidRPr="00DC2CE0">
        <w:t xml:space="preserve"> that in all cases the victim's next-of-kin must</w:t>
      </w:r>
      <w:r w:rsidRPr="00DC2CE0">
        <w:t xml:space="preserve"> be involved in the investigation to the extent necessary to safeguard his or her legitimate</w:t>
      </w:r>
      <w:r w:rsidR="00B847F3" w:rsidRPr="00DC2CE0">
        <w:t xml:space="preserve"> interests</w:t>
      </w:r>
      <w:r w:rsidR="00BA51D8" w:rsidRPr="00DC2CE0">
        <w:t xml:space="preserve"> (see </w:t>
      </w:r>
      <w:proofErr w:type="spellStart"/>
      <w:r w:rsidR="00BA51D8" w:rsidRPr="00DC2CE0">
        <w:t>ECtHR</w:t>
      </w:r>
      <w:proofErr w:type="spellEnd"/>
      <w:r w:rsidR="00BA51D8" w:rsidRPr="00DC2CE0">
        <w:t xml:space="preserve"> [GC], </w:t>
      </w:r>
      <w:proofErr w:type="spellStart"/>
      <w:r w:rsidR="00BA51D8" w:rsidRPr="00DC2CE0">
        <w:rPr>
          <w:i/>
        </w:rPr>
        <w:t>Tahsin</w:t>
      </w:r>
      <w:proofErr w:type="spellEnd"/>
      <w:r w:rsidR="00BA51D8" w:rsidRPr="00DC2CE0">
        <w:rPr>
          <w:i/>
        </w:rPr>
        <w:t xml:space="preserve"> </w:t>
      </w:r>
      <w:proofErr w:type="spellStart"/>
      <w:r w:rsidR="00BA51D8" w:rsidRPr="00DC2CE0">
        <w:rPr>
          <w:i/>
        </w:rPr>
        <w:t>Acar</w:t>
      </w:r>
      <w:proofErr w:type="spellEnd"/>
      <w:r w:rsidR="00BA51D8" w:rsidRPr="00DC2CE0">
        <w:rPr>
          <w:i/>
        </w:rPr>
        <w:t xml:space="preserve"> v. Turkey</w:t>
      </w:r>
      <w:r w:rsidR="00BA51D8" w:rsidRPr="00DC2CE0">
        <w:t xml:space="preserve">, no. 26307/95, judgment of 8 April 2004, § 226, ECHR 2004-III; </w:t>
      </w:r>
      <w:proofErr w:type="spellStart"/>
      <w:r w:rsidR="00BA51D8" w:rsidRPr="00DC2CE0">
        <w:t>ECtHR</w:t>
      </w:r>
      <w:proofErr w:type="spellEnd"/>
      <w:r w:rsidR="00BA51D8" w:rsidRPr="00DC2CE0">
        <w:t xml:space="preserve">, </w:t>
      </w:r>
      <w:proofErr w:type="spellStart"/>
      <w:r w:rsidR="00BA51D8" w:rsidRPr="00DC2CE0">
        <w:rPr>
          <w:i/>
        </w:rPr>
        <w:t>Taniş</w:t>
      </w:r>
      <w:proofErr w:type="spellEnd"/>
      <w:r w:rsidR="00BA51D8" w:rsidRPr="00DC2CE0">
        <w:rPr>
          <w:i/>
        </w:rPr>
        <w:t xml:space="preserve"> v. Turkey</w:t>
      </w:r>
      <w:r w:rsidR="00BA51D8" w:rsidRPr="00DC2CE0">
        <w:t>, no. 65899/01, judgment of 2 August 2005, § 204, ECHR 2005-VIII).</w:t>
      </w:r>
    </w:p>
    <w:p w:rsidR="00BA51D8" w:rsidRPr="00DC2CE0" w:rsidRDefault="00BA51D8" w:rsidP="00BA51D8">
      <w:pPr>
        <w:pStyle w:val="ListParagraph"/>
      </w:pPr>
    </w:p>
    <w:p w:rsidR="006E05AE" w:rsidRPr="00DC2CE0" w:rsidRDefault="00B847F3" w:rsidP="00643DBA">
      <w:pPr>
        <w:numPr>
          <w:ilvl w:val="0"/>
          <w:numId w:val="15"/>
        </w:numPr>
        <w:tabs>
          <w:tab w:val="left" w:pos="567"/>
        </w:tabs>
        <w:suppressAutoHyphens/>
        <w:autoSpaceDE w:val="0"/>
        <w:jc w:val="both"/>
      </w:pPr>
      <w:r w:rsidRPr="00DC2CE0">
        <w:t xml:space="preserve"> In this regard, the </w:t>
      </w:r>
      <w:r w:rsidR="006E05AE" w:rsidRPr="00DC2CE0">
        <w:t>complainant</w:t>
      </w:r>
      <w:r w:rsidRPr="00DC2CE0">
        <w:t xml:space="preserve"> claim</w:t>
      </w:r>
      <w:r w:rsidR="00651915" w:rsidRPr="00DC2CE0">
        <w:t>s</w:t>
      </w:r>
      <w:r w:rsidR="006E05AE" w:rsidRPr="00DC2CE0">
        <w:t xml:space="preserve"> that</w:t>
      </w:r>
      <w:r w:rsidR="00AB0FE5" w:rsidRPr="00DC2CE0">
        <w:t>,</w:t>
      </w:r>
      <w:r w:rsidR="006E05AE" w:rsidRPr="00DC2CE0">
        <w:t xml:space="preserve"> </w:t>
      </w:r>
      <w:r w:rsidR="00651915" w:rsidRPr="00DC2CE0">
        <w:t>although she was</w:t>
      </w:r>
      <w:r w:rsidR="006E05AE" w:rsidRPr="00DC2CE0">
        <w:t xml:space="preserve"> </w:t>
      </w:r>
      <w:r w:rsidR="00651915" w:rsidRPr="00DC2CE0">
        <w:t>visited by UNMIK Police</w:t>
      </w:r>
      <w:r w:rsidR="00AB0FE5" w:rsidRPr="00DC2CE0">
        <w:t>,</w:t>
      </w:r>
      <w:r w:rsidR="00651915" w:rsidRPr="00DC2CE0">
        <w:t xml:space="preserve"> she was </w:t>
      </w:r>
      <w:r w:rsidR="006E05AE" w:rsidRPr="00DC2CE0">
        <w:t xml:space="preserve">never </w:t>
      </w:r>
      <w:r w:rsidR="00651915" w:rsidRPr="00DC2CE0">
        <w:t xml:space="preserve">really </w:t>
      </w:r>
      <w:r w:rsidR="006E05AE" w:rsidRPr="00DC2CE0">
        <w:t>informed about the steps taken by the investigators</w:t>
      </w:r>
      <w:r w:rsidR="00651915" w:rsidRPr="00DC2CE0">
        <w:t xml:space="preserve"> and that </w:t>
      </w:r>
      <w:r w:rsidR="00AB0FE5" w:rsidRPr="00DC2CE0">
        <w:t xml:space="preserve">this </w:t>
      </w:r>
      <w:r w:rsidR="00651915" w:rsidRPr="00DC2CE0">
        <w:t>investigation was being frustrated by the l</w:t>
      </w:r>
      <w:r w:rsidR="00AB0FE5" w:rsidRPr="00DC2CE0">
        <w:t>ack of continuity in the UNMIK P</w:t>
      </w:r>
      <w:r w:rsidR="00651915" w:rsidRPr="00DC2CE0">
        <w:t xml:space="preserve">olice team (see § </w:t>
      </w:r>
      <w:r w:rsidR="002C706F" w:rsidRPr="00DC2CE0">
        <w:t>25</w:t>
      </w:r>
      <w:r w:rsidR="00651915" w:rsidRPr="00DC2CE0">
        <w:t xml:space="preserve"> above)</w:t>
      </w:r>
      <w:r w:rsidR="006E05AE" w:rsidRPr="00DC2CE0">
        <w:t>. The Panel notes that</w:t>
      </w:r>
      <w:r w:rsidRPr="00DC2CE0">
        <w:t xml:space="preserve"> no fo</w:t>
      </w:r>
      <w:r w:rsidR="00BA51D8" w:rsidRPr="00DC2CE0">
        <w:t>rmal statement was ever taken from</w:t>
      </w:r>
      <w:r w:rsidRPr="00DC2CE0">
        <w:t xml:space="preserve"> </w:t>
      </w:r>
      <w:r w:rsidR="00651915" w:rsidRPr="00DC2CE0">
        <w:t>the</w:t>
      </w:r>
      <w:r w:rsidRPr="00DC2CE0">
        <w:t xml:space="preserve"> complainant</w:t>
      </w:r>
      <w:r w:rsidR="0043284C" w:rsidRPr="00DC2CE0">
        <w:t xml:space="preserve"> </w:t>
      </w:r>
      <w:r w:rsidR="006E05AE" w:rsidRPr="00DC2CE0">
        <w:t>and</w:t>
      </w:r>
      <w:r w:rsidRPr="00DC2CE0">
        <w:t xml:space="preserve"> no information </w:t>
      </w:r>
      <w:r w:rsidR="00651915" w:rsidRPr="00DC2CE0">
        <w:t xml:space="preserve">appears to ever have been </w:t>
      </w:r>
      <w:r w:rsidRPr="00DC2CE0">
        <w:t xml:space="preserve">given to </w:t>
      </w:r>
      <w:r w:rsidR="00651915" w:rsidRPr="00DC2CE0">
        <w:t>her</w:t>
      </w:r>
      <w:r w:rsidR="006E05AE" w:rsidRPr="00DC2CE0">
        <w:t xml:space="preserve"> concerning the status of the investigation.</w:t>
      </w:r>
      <w:r w:rsidR="0043284C" w:rsidRPr="00DC2CE0">
        <w:t xml:space="preserve"> </w:t>
      </w:r>
      <w:r w:rsidR="006E05AE" w:rsidRPr="00DC2CE0">
        <w:t>The Panel therefore considers that the investigation</w:t>
      </w:r>
      <w:r w:rsidR="0043284C" w:rsidRPr="00DC2CE0">
        <w:t>s</w:t>
      </w:r>
      <w:r w:rsidR="006E05AE" w:rsidRPr="00DC2CE0">
        <w:t xml:space="preserve"> </w:t>
      </w:r>
      <w:r w:rsidR="0043284C" w:rsidRPr="00DC2CE0">
        <w:t>were</w:t>
      </w:r>
      <w:r w:rsidR="006E05AE" w:rsidRPr="00DC2CE0">
        <w:t xml:space="preserve"> not accessible to the complainant</w:t>
      </w:r>
      <w:r w:rsidR="00651915" w:rsidRPr="00DC2CE0">
        <w:t xml:space="preserve"> </w:t>
      </w:r>
      <w:r w:rsidR="006E05AE" w:rsidRPr="00DC2CE0">
        <w:t>as required by Article 2.</w:t>
      </w:r>
    </w:p>
    <w:p w:rsidR="006E05AE" w:rsidRPr="00DC2CE0" w:rsidRDefault="006E05AE" w:rsidP="00B847F3">
      <w:pPr>
        <w:suppressAutoHyphens/>
        <w:autoSpaceDE w:val="0"/>
        <w:ind w:left="360"/>
        <w:jc w:val="both"/>
      </w:pPr>
    </w:p>
    <w:p w:rsidR="007D7EC6" w:rsidRPr="00DC2CE0" w:rsidRDefault="006E05AE" w:rsidP="00643DBA">
      <w:pPr>
        <w:numPr>
          <w:ilvl w:val="0"/>
          <w:numId w:val="15"/>
        </w:numPr>
        <w:tabs>
          <w:tab w:val="left" w:pos="567"/>
        </w:tabs>
        <w:suppressAutoHyphens/>
        <w:autoSpaceDE w:val="0"/>
        <w:jc w:val="both"/>
      </w:pPr>
      <w:r w:rsidRPr="00DC2CE0">
        <w:t>In light of the deficiencies and shortcomings as described above, the Panel concludes that UNMIK failed to carry out an adequate and ef</w:t>
      </w:r>
      <w:r w:rsidR="0043284C" w:rsidRPr="00DC2CE0">
        <w:t>fective investigation into the abduction of the complainants’ husbands.</w:t>
      </w:r>
      <w:r w:rsidRPr="00DC2CE0">
        <w:t xml:space="preserve"> There has been accordingly a violation of Article 2 of the ECHR under its procedural limb.</w:t>
      </w:r>
      <w:bookmarkEnd w:id="25"/>
    </w:p>
    <w:p w:rsidR="00BC4E03" w:rsidRPr="00DC2CE0" w:rsidRDefault="00BC4E03" w:rsidP="00BC4E03">
      <w:pPr>
        <w:suppressAutoHyphens/>
        <w:autoSpaceDE w:val="0"/>
        <w:jc w:val="both"/>
      </w:pPr>
    </w:p>
    <w:p w:rsidR="007D7EC6" w:rsidRPr="00DC2CE0" w:rsidRDefault="007D7EC6" w:rsidP="001707FB">
      <w:pPr>
        <w:pStyle w:val="ListParagraph"/>
        <w:numPr>
          <w:ilvl w:val="0"/>
          <w:numId w:val="5"/>
        </w:numPr>
        <w:jc w:val="both"/>
        <w:rPr>
          <w:b/>
        </w:rPr>
      </w:pPr>
      <w:r w:rsidRPr="00DC2CE0">
        <w:rPr>
          <w:b/>
        </w:rPr>
        <w:t>Alleged violation of Article 3 of the ECHR</w:t>
      </w:r>
    </w:p>
    <w:p w:rsidR="007D7EC6" w:rsidRPr="00DC2CE0" w:rsidRDefault="007D7EC6" w:rsidP="007D7EC6">
      <w:pPr>
        <w:pStyle w:val="ListParagraph"/>
        <w:ind w:left="360"/>
        <w:jc w:val="both"/>
        <w:rPr>
          <w:b/>
        </w:rPr>
      </w:pPr>
    </w:p>
    <w:p w:rsidR="007D7EC6" w:rsidRPr="00DC2CE0" w:rsidRDefault="007D7EC6" w:rsidP="00643DBA">
      <w:pPr>
        <w:numPr>
          <w:ilvl w:val="0"/>
          <w:numId w:val="15"/>
        </w:numPr>
        <w:tabs>
          <w:tab w:val="left" w:pos="567"/>
        </w:tabs>
        <w:suppressAutoHyphens/>
        <w:autoSpaceDE w:val="0"/>
        <w:jc w:val="both"/>
      </w:pPr>
      <w:r w:rsidRPr="00DC2CE0">
        <w:rPr>
          <w:lang w:eastAsia="en-US"/>
        </w:rPr>
        <w:t xml:space="preserve">The Panel considers that the complainant invokes, in substance, a violation of the right to be free from inhumane or degrading treatment, guaranteed by Article 3 of the ECHR. </w:t>
      </w:r>
    </w:p>
    <w:p w:rsidR="007D7EC6" w:rsidRPr="00DC2CE0" w:rsidRDefault="007D7EC6" w:rsidP="007D7EC6">
      <w:pPr>
        <w:pStyle w:val="ListParagraph"/>
        <w:ind w:left="360"/>
        <w:jc w:val="both"/>
      </w:pPr>
    </w:p>
    <w:p w:rsidR="007D7EC6" w:rsidRPr="00DC2CE0" w:rsidRDefault="007D7EC6" w:rsidP="001707FB">
      <w:pPr>
        <w:pStyle w:val="ListParagraph"/>
        <w:numPr>
          <w:ilvl w:val="0"/>
          <w:numId w:val="9"/>
        </w:numPr>
        <w:jc w:val="both"/>
        <w:rPr>
          <w:b/>
        </w:rPr>
      </w:pPr>
      <w:r w:rsidRPr="00DC2CE0">
        <w:rPr>
          <w:b/>
        </w:rPr>
        <w:t>The scope of the Panel’s review</w:t>
      </w:r>
    </w:p>
    <w:p w:rsidR="007D7EC6" w:rsidRPr="00DC2CE0" w:rsidRDefault="007D7EC6" w:rsidP="007D7EC6">
      <w:pPr>
        <w:pStyle w:val="ListParagraph"/>
        <w:ind w:left="360"/>
        <w:jc w:val="both"/>
        <w:rPr>
          <w:b/>
        </w:rPr>
      </w:pPr>
    </w:p>
    <w:p w:rsidR="007D7EC6" w:rsidRPr="00DC2CE0" w:rsidRDefault="007D7EC6" w:rsidP="00643DBA">
      <w:pPr>
        <w:numPr>
          <w:ilvl w:val="0"/>
          <w:numId w:val="15"/>
        </w:numPr>
        <w:tabs>
          <w:tab w:val="left" w:pos="567"/>
        </w:tabs>
        <w:suppressAutoHyphens/>
        <w:autoSpaceDE w:val="0"/>
        <w:jc w:val="both"/>
      </w:pPr>
      <w:r w:rsidRPr="00DC2CE0">
        <w:rPr>
          <w:lang w:eastAsia="en-US"/>
        </w:rPr>
        <w:t>The Panel will consider the allegations under Article 3 of the ECHR, applying the same scope of review as was set out with regard to A</w:t>
      </w:r>
      <w:bookmarkStart w:id="26" w:name="_Ref354588604"/>
      <w:r w:rsidRPr="00DC2CE0">
        <w:rPr>
          <w:lang w:eastAsia="en-US"/>
        </w:rPr>
        <w:t xml:space="preserve">rticle 2 (see §§ </w:t>
      </w:r>
      <w:r w:rsidR="002C706F" w:rsidRPr="00DC2CE0">
        <w:rPr>
          <w:lang w:eastAsia="en-US"/>
        </w:rPr>
        <w:t>46</w:t>
      </w:r>
      <w:r w:rsidR="00F137A4" w:rsidRPr="00DC2CE0">
        <w:rPr>
          <w:lang w:eastAsia="en-US"/>
        </w:rPr>
        <w:t>-</w:t>
      </w:r>
      <w:r w:rsidR="002C706F" w:rsidRPr="00DC2CE0">
        <w:rPr>
          <w:lang w:eastAsia="en-US"/>
        </w:rPr>
        <w:t>51</w:t>
      </w:r>
      <w:r w:rsidRPr="00DC2CE0">
        <w:rPr>
          <w:lang w:eastAsia="en-US"/>
        </w:rPr>
        <w:t xml:space="preserve"> above).</w:t>
      </w:r>
    </w:p>
    <w:p w:rsidR="007D7EC6" w:rsidRPr="00DC2CE0" w:rsidRDefault="007D7EC6" w:rsidP="007D7EC6">
      <w:pPr>
        <w:pStyle w:val="ListParagraph"/>
        <w:ind w:left="360"/>
        <w:jc w:val="both"/>
      </w:pPr>
    </w:p>
    <w:p w:rsidR="007D7EC6" w:rsidRPr="00DC2CE0" w:rsidRDefault="007D7EC6" w:rsidP="00643DBA">
      <w:pPr>
        <w:numPr>
          <w:ilvl w:val="0"/>
          <w:numId w:val="15"/>
        </w:numPr>
        <w:tabs>
          <w:tab w:val="left" w:pos="567"/>
        </w:tabs>
        <w:suppressAutoHyphens/>
        <w:autoSpaceDE w:val="0"/>
        <w:jc w:val="both"/>
      </w:pPr>
      <w:r w:rsidRPr="00DC2CE0">
        <w:rPr>
          <w:lang w:eastAsia="en-US"/>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DC2CE0">
        <w:rPr>
          <w:lang w:eastAsia="en-US"/>
        </w:rPr>
        <w:t>ECtHR</w:t>
      </w:r>
      <w:proofErr w:type="spellEnd"/>
      <w:r w:rsidRPr="00DC2CE0">
        <w:rPr>
          <w:lang w:eastAsia="en-US"/>
        </w:rPr>
        <w:t xml:space="preserve"> [GC], </w:t>
      </w:r>
      <w:proofErr w:type="spellStart"/>
      <w:r w:rsidRPr="00DC2CE0">
        <w:rPr>
          <w:i/>
          <w:lang w:eastAsia="en-US"/>
        </w:rPr>
        <w:t>Çakici</w:t>
      </w:r>
      <w:proofErr w:type="spellEnd"/>
      <w:r w:rsidRPr="00DC2CE0">
        <w:rPr>
          <w:i/>
          <w:lang w:eastAsia="en-US"/>
        </w:rPr>
        <w:t xml:space="preserve"> v. Turkey</w:t>
      </w:r>
      <w:r w:rsidRPr="00DC2CE0">
        <w:rPr>
          <w:lang w:eastAsia="en-US"/>
        </w:rPr>
        <w:t xml:space="preserve">, no. 23657/94, judgment of 8 July 1999, § 98, </w:t>
      </w:r>
      <w:r w:rsidRPr="00DC2CE0">
        <w:rPr>
          <w:i/>
          <w:lang w:eastAsia="en-US"/>
        </w:rPr>
        <w:t>ECHR</w:t>
      </w:r>
      <w:r w:rsidRPr="00DC2CE0">
        <w:rPr>
          <w:lang w:eastAsia="en-US"/>
        </w:rPr>
        <w:t xml:space="preserve">, 1999-IV; </w:t>
      </w:r>
      <w:proofErr w:type="spellStart"/>
      <w:r w:rsidRPr="00DC2CE0">
        <w:rPr>
          <w:lang w:eastAsia="en-US"/>
        </w:rPr>
        <w:t>ECtHR</w:t>
      </w:r>
      <w:proofErr w:type="spellEnd"/>
      <w:r w:rsidRPr="00DC2CE0">
        <w:rPr>
          <w:lang w:eastAsia="en-US"/>
        </w:rPr>
        <w:t xml:space="preserve"> [GC], </w:t>
      </w:r>
      <w:r w:rsidRPr="00DC2CE0">
        <w:rPr>
          <w:i/>
          <w:lang w:eastAsia="en-US"/>
        </w:rPr>
        <w:t>Cyprus v. Turkey</w:t>
      </w:r>
      <w:r w:rsidRPr="00DC2CE0">
        <w:rPr>
          <w:lang w:eastAsia="en-US"/>
        </w:rPr>
        <w:t xml:space="preserve">, no. 25781/94, </w:t>
      </w:r>
      <w:r w:rsidR="00D960DE" w:rsidRPr="00DC2CE0">
        <w:rPr>
          <w:lang w:eastAsia="en-US"/>
        </w:rPr>
        <w:t xml:space="preserve">cited in § </w:t>
      </w:r>
      <w:r w:rsidR="002C706F" w:rsidRPr="00DC2CE0">
        <w:rPr>
          <w:lang w:eastAsia="en-US"/>
        </w:rPr>
        <w:t>51</w:t>
      </w:r>
      <w:r w:rsidR="00D960DE" w:rsidRPr="00DC2CE0">
        <w:rPr>
          <w:lang w:eastAsia="en-US"/>
        </w:rPr>
        <w:t xml:space="preserve"> above</w:t>
      </w:r>
      <w:r w:rsidRPr="00DC2CE0">
        <w:rPr>
          <w:lang w:eastAsia="en-US"/>
        </w:rPr>
        <w:t>,</w:t>
      </w:r>
      <w:r w:rsidR="00D960DE" w:rsidRPr="00DC2CE0">
        <w:rPr>
          <w:lang w:eastAsia="en-US"/>
        </w:rPr>
        <w:t xml:space="preserve"> at</w:t>
      </w:r>
      <w:r w:rsidRPr="00DC2CE0">
        <w:rPr>
          <w:lang w:eastAsia="en-US"/>
        </w:rPr>
        <w:t xml:space="preserve"> § 156,</w:t>
      </w:r>
      <w:r w:rsidRPr="00DC2CE0">
        <w:rPr>
          <w:i/>
          <w:lang w:eastAsia="en-US"/>
        </w:rPr>
        <w:t xml:space="preserve"> ECHR</w:t>
      </w:r>
      <w:r w:rsidRPr="00DC2CE0">
        <w:rPr>
          <w:lang w:eastAsia="en-US"/>
        </w:rPr>
        <w:t xml:space="preserve">, 2001-IV; </w:t>
      </w:r>
      <w:proofErr w:type="spellStart"/>
      <w:r w:rsidRPr="00DC2CE0">
        <w:rPr>
          <w:lang w:eastAsia="en-US"/>
        </w:rPr>
        <w:t>ECtHR</w:t>
      </w:r>
      <w:proofErr w:type="spellEnd"/>
      <w:r w:rsidRPr="00DC2CE0">
        <w:rPr>
          <w:lang w:eastAsia="en-US"/>
        </w:rPr>
        <w:t xml:space="preserve">, </w:t>
      </w:r>
      <w:proofErr w:type="spellStart"/>
      <w:r w:rsidRPr="00DC2CE0">
        <w:rPr>
          <w:i/>
          <w:lang w:eastAsia="en-US"/>
        </w:rPr>
        <w:t>Orhan</w:t>
      </w:r>
      <w:proofErr w:type="spellEnd"/>
      <w:r w:rsidRPr="00DC2CE0">
        <w:rPr>
          <w:i/>
          <w:lang w:eastAsia="en-US"/>
        </w:rPr>
        <w:t xml:space="preserve"> v. Turkey</w:t>
      </w:r>
      <w:r w:rsidRPr="00DC2CE0">
        <w:rPr>
          <w:lang w:eastAsia="en-US"/>
        </w:rPr>
        <w:t xml:space="preserve">, no. 25656/94, judgment of 18 June 2002, § 358; </w:t>
      </w:r>
      <w:proofErr w:type="spellStart"/>
      <w:r w:rsidRPr="00DC2CE0">
        <w:rPr>
          <w:lang w:eastAsia="en-US"/>
        </w:rPr>
        <w:t>ECtHR</w:t>
      </w:r>
      <w:proofErr w:type="spellEnd"/>
      <w:r w:rsidRPr="00DC2CE0">
        <w:rPr>
          <w:lang w:eastAsia="en-US"/>
        </w:rPr>
        <w:t xml:space="preserve">, </w:t>
      </w:r>
      <w:proofErr w:type="spellStart"/>
      <w:r w:rsidRPr="00DC2CE0">
        <w:rPr>
          <w:i/>
          <w:lang w:eastAsia="en-US"/>
        </w:rPr>
        <w:t>Palić</w:t>
      </w:r>
      <w:proofErr w:type="spellEnd"/>
      <w:r w:rsidRPr="00DC2CE0">
        <w:rPr>
          <w:i/>
          <w:lang w:eastAsia="en-US"/>
        </w:rPr>
        <w:t xml:space="preserve"> v. Bosnia and Herzegovina,</w:t>
      </w:r>
      <w:r w:rsidRPr="00DC2CE0">
        <w:rPr>
          <w:lang w:eastAsia="en-US"/>
        </w:rPr>
        <w:t xml:space="preserve"> cited in § </w:t>
      </w:r>
      <w:r w:rsidR="002C706F" w:rsidRPr="00DC2CE0">
        <w:rPr>
          <w:lang w:eastAsia="en-US"/>
        </w:rPr>
        <w:t>73</w:t>
      </w:r>
      <w:r w:rsidRPr="00DC2CE0">
        <w:rPr>
          <w:lang w:eastAsia="en-US"/>
        </w:rPr>
        <w:t xml:space="preserve"> above, at § 74; </w:t>
      </w:r>
      <w:proofErr w:type="spellStart"/>
      <w:r w:rsidRPr="00DC2CE0">
        <w:rPr>
          <w:lang w:eastAsia="en-US"/>
        </w:rPr>
        <w:t>ECtHR</w:t>
      </w:r>
      <w:proofErr w:type="spellEnd"/>
      <w:r w:rsidRPr="00DC2CE0">
        <w:rPr>
          <w:lang w:eastAsia="en-US"/>
        </w:rPr>
        <w:t xml:space="preserve">, </w:t>
      </w:r>
      <w:proofErr w:type="spellStart"/>
      <w:r w:rsidRPr="00DC2CE0">
        <w:rPr>
          <w:i/>
          <w:lang w:eastAsia="en-US"/>
        </w:rPr>
        <w:t>Alpatu</w:t>
      </w:r>
      <w:proofErr w:type="spellEnd"/>
      <w:r w:rsidRPr="00DC2CE0">
        <w:rPr>
          <w:i/>
          <w:lang w:eastAsia="en-US"/>
        </w:rPr>
        <w:t xml:space="preserve"> </w:t>
      </w:r>
      <w:proofErr w:type="spellStart"/>
      <w:r w:rsidRPr="00DC2CE0">
        <w:rPr>
          <w:i/>
          <w:lang w:eastAsia="en-US"/>
        </w:rPr>
        <w:t>Israilova</w:t>
      </w:r>
      <w:proofErr w:type="spellEnd"/>
      <w:r w:rsidRPr="00DC2CE0">
        <w:rPr>
          <w:i/>
          <w:lang w:eastAsia="en-US"/>
        </w:rPr>
        <w:t xml:space="preserve"> v. Russia</w:t>
      </w:r>
      <w:r w:rsidRPr="00DC2CE0">
        <w:rPr>
          <w:lang w:eastAsia="en-US"/>
        </w:rPr>
        <w:t xml:space="preserve">, no. 15438/05, judgment of 14 March 2013, § 69; see also HRAP, </w:t>
      </w:r>
      <w:proofErr w:type="spellStart"/>
      <w:r w:rsidRPr="00DC2CE0">
        <w:rPr>
          <w:i/>
          <w:lang w:eastAsia="en-US"/>
        </w:rPr>
        <w:t>Zdravković</w:t>
      </w:r>
      <w:proofErr w:type="spellEnd"/>
      <w:r w:rsidRPr="00DC2CE0">
        <w:rPr>
          <w:lang w:eastAsia="en-US"/>
        </w:rPr>
        <w:t xml:space="preserve">, no. 46/08, decision of 17 April 2009, § 41). “It is especially in respect of the latter that a relative may claim directly to be a victim of the authorities’ conduct” (see, among others, </w:t>
      </w:r>
      <w:proofErr w:type="spellStart"/>
      <w:r w:rsidRPr="00DC2CE0">
        <w:rPr>
          <w:lang w:eastAsia="en-US"/>
        </w:rPr>
        <w:t>ECtHR</w:t>
      </w:r>
      <w:proofErr w:type="spellEnd"/>
      <w:r w:rsidRPr="00DC2CE0">
        <w:rPr>
          <w:lang w:eastAsia="en-US"/>
        </w:rPr>
        <w:t xml:space="preserve">, </w:t>
      </w:r>
      <w:proofErr w:type="spellStart"/>
      <w:r w:rsidRPr="00DC2CE0">
        <w:rPr>
          <w:i/>
          <w:lang w:eastAsia="en-US"/>
        </w:rPr>
        <w:t>Er</w:t>
      </w:r>
      <w:proofErr w:type="spellEnd"/>
      <w:r w:rsidRPr="00DC2CE0">
        <w:rPr>
          <w:i/>
          <w:lang w:eastAsia="en-US"/>
        </w:rPr>
        <w:t xml:space="preserve"> and Others v. Turkey</w:t>
      </w:r>
      <w:r w:rsidRPr="00DC2CE0">
        <w:rPr>
          <w:lang w:eastAsia="en-US"/>
        </w:rPr>
        <w:t>, no. 23016/04, judgment of 31 July 2012, § 94).</w:t>
      </w:r>
      <w:bookmarkEnd w:id="26"/>
    </w:p>
    <w:p w:rsidR="007D7EC6" w:rsidRPr="00DC2CE0" w:rsidRDefault="007D7EC6" w:rsidP="007D7EC6">
      <w:pPr>
        <w:pStyle w:val="ListParagraph"/>
        <w:ind w:left="360"/>
        <w:jc w:val="both"/>
      </w:pPr>
    </w:p>
    <w:p w:rsidR="007D7EC6" w:rsidRPr="00DC2CE0" w:rsidRDefault="007D7EC6" w:rsidP="00643DBA">
      <w:pPr>
        <w:numPr>
          <w:ilvl w:val="0"/>
          <w:numId w:val="15"/>
        </w:numPr>
        <w:tabs>
          <w:tab w:val="left" w:pos="567"/>
        </w:tabs>
        <w:suppressAutoHyphens/>
        <w:autoSpaceDE w:val="0"/>
        <w:jc w:val="both"/>
      </w:pPr>
      <w:r w:rsidRPr="00DC2CE0">
        <w:rPr>
          <w:lang w:eastAsia="en-US"/>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DC2CE0">
        <w:rPr>
          <w:lang w:eastAsia="en-US"/>
        </w:rPr>
        <w:t>ECtHR</w:t>
      </w:r>
      <w:proofErr w:type="spellEnd"/>
      <w:r w:rsidRPr="00DC2CE0">
        <w:rPr>
          <w:lang w:eastAsia="en-US"/>
        </w:rPr>
        <w:t xml:space="preserve">, </w:t>
      </w:r>
      <w:proofErr w:type="spellStart"/>
      <w:r w:rsidRPr="00DC2CE0">
        <w:rPr>
          <w:i/>
          <w:lang w:eastAsia="en-US"/>
        </w:rPr>
        <w:t>Gelayevy</w:t>
      </w:r>
      <w:proofErr w:type="spellEnd"/>
      <w:r w:rsidRPr="00DC2CE0">
        <w:rPr>
          <w:i/>
          <w:lang w:eastAsia="en-US"/>
        </w:rPr>
        <w:t xml:space="preserve"> v. Russia</w:t>
      </w:r>
      <w:r w:rsidRPr="00DC2CE0">
        <w:rPr>
          <w:lang w:eastAsia="en-US"/>
        </w:rPr>
        <w:t xml:space="preserve">, no. 20216/07, </w:t>
      </w:r>
      <w:r w:rsidR="002C706F" w:rsidRPr="00DC2CE0">
        <w:rPr>
          <w:lang w:eastAsia="en-US"/>
        </w:rPr>
        <w:t>judgment of 15 July 2010,</w:t>
      </w:r>
      <w:r w:rsidR="009821D9" w:rsidRPr="00DC2CE0">
        <w:rPr>
          <w:lang w:eastAsia="en-US"/>
        </w:rPr>
        <w:t xml:space="preserve"> at</w:t>
      </w:r>
      <w:r w:rsidRPr="00DC2CE0">
        <w:rPr>
          <w:lang w:eastAsia="en-US"/>
        </w:rPr>
        <w:t xml:space="preserve"> §§ 147-148).</w:t>
      </w:r>
    </w:p>
    <w:p w:rsidR="007D7EC6" w:rsidRPr="00DC2CE0" w:rsidRDefault="007D7EC6" w:rsidP="007D7EC6">
      <w:pPr>
        <w:pStyle w:val="ListParagraph"/>
        <w:ind w:left="360"/>
      </w:pPr>
    </w:p>
    <w:p w:rsidR="007D7EC6" w:rsidRPr="00DC2CE0" w:rsidRDefault="007D7EC6" w:rsidP="001707FB">
      <w:pPr>
        <w:pStyle w:val="ListParagraph"/>
        <w:numPr>
          <w:ilvl w:val="0"/>
          <w:numId w:val="9"/>
        </w:numPr>
        <w:jc w:val="both"/>
        <w:rPr>
          <w:b/>
        </w:rPr>
      </w:pPr>
      <w:r w:rsidRPr="00DC2CE0">
        <w:rPr>
          <w:b/>
        </w:rPr>
        <w:t>The Parties’ submissions</w:t>
      </w:r>
    </w:p>
    <w:p w:rsidR="007D7EC6" w:rsidRPr="00DC2CE0" w:rsidRDefault="007D7EC6" w:rsidP="007D7EC6">
      <w:pPr>
        <w:pStyle w:val="ListParagraph"/>
        <w:rPr>
          <w:lang w:eastAsia="en-US"/>
        </w:rPr>
      </w:pPr>
    </w:p>
    <w:p w:rsidR="007D7EC6" w:rsidRPr="00DC2CE0" w:rsidRDefault="007D7EC6" w:rsidP="003B2675">
      <w:pPr>
        <w:numPr>
          <w:ilvl w:val="0"/>
          <w:numId w:val="15"/>
        </w:numPr>
        <w:tabs>
          <w:tab w:val="left" w:pos="567"/>
        </w:tabs>
        <w:suppressAutoHyphens/>
        <w:autoSpaceDE w:val="0"/>
        <w:jc w:val="both"/>
        <w:rPr>
          <w:lang w:eastAsia="en-US"/>
        </w:rPr>
      </w:pPr>
      <w:r w:rsidRPr="00DC2CE0">
        <w:rPr>
          <w:lang w:eastAsia="en-US"/>
        </w:rPr>
        <w:t>The complainant</w:t>
      </w:r>
      <w:r w:rsidR="003B2675" w:rsidRPr="00DC2CE0">
        <w:rPr>
          <w:lang w:eastAsia="en-US"/>
        </w:rPr>
        <w:t xml:space="preserve"> allege</w:t>
      </w:r>
      <w:r w:rsidR="00184E16" w:rsidRPr="00DC2CE0">
        <w:rPr>
          <w:lang w:eastAsia="en-US"/>
        </w:rPr>
        <w:t>s</w:t>
      </w:r>
      <w:r w:rsidRPr="00DC2CE0">
        <w:rPr>
          <w:lang w:eastAsia="en-US"/>
        </w:rPr>
        <w:t xml:space="preserve"> that the lack of information and certainty surrounding the </w:t>
      </w:r>
      <w:r w:rsidR="003B2675" w:rsidRPr="00DC2CE0">
        <w:rPr>
          <w:lang w:eastAsia="en-US"/>
        </w:rPr>
        <w:t xml:space="preserve">abduction </w:t>
      </w:r>
      <w:r w:rsidR="00AB0FE5" w:rsidRPr="00DC2CE0">
        <w:rPr>
          <w:lang w:eastAsia="en-US"/>
        </w:rPr>
        <w:t xml:space="preserve">of </w:t>
      </w:r>
      <w:r w:rsidR="00184E16" w:rsidRPr="00DC2CE0">
        <w:rPr>
          <w:lang w:eastAsia="en-US"/>
        </w:rPr>
        <w:t>her</w:t>
      </w:r>
      <w:r w:rsidR="003B2675" w:rsidRPr="00DC2CE0">
        <w:rPr>
          <w:lang w:eastAsia="en-US"/>
        </w:rPr>
        <w:t xml:space="preserve"> husband</w:t>
      </w:r>
      <w:r w:rsidRPr="00DC2CE0">
        <w:rPr>
          <w:lang w:eastAsia="en-US"/>
        </w:rPr>
        <w:t xml:space="preserve">, particularly because of UNMIK’s failure to properly investigate </w:t>
      </w:r>
      <w:r w:rsidR="00184E16" w:rsidRPr="00DC2CE0">
        <w:rPr>
          <w:lang w:eastAsia="en-US"/>
        </w:rPr>
        <w:t>the</w:t>
      </w:r>
      <w:r w:rsidR="003B2675" w:rsidRPr="00DC2CE0">
        <w:rPr>
          <w:lang w:eastAsia="en-US"/>
        </w:rPr>
        <w:t xml:space="preserve"> abduction</w:t>
      </w:r>
      <w:r w:rsidRPr="00DC2CE0">
        <w:rPr>
          <w:lang w:eastAsia="en-US"/>
        </w:rPr>
        <w:t xml:space="preserve">, caused mental suffering to </w:t>
      </w:r>
      <w:r w:rsidR="00184E16" w:rsidRPr="00DC2CE0">
        <w:rPr>
          <w:lang w:eastAsia="en-US"/>
        </w:rPr>
        <w:t>herself</w:t>
      </w:r>
      <w:r w:rsidR="003B2675" w:rsidRPr="00DC2CE0">
        <w:rPr>
          <w:lang w:eastAsia="en-US"/>
        </w:rPr>
        <w:t xml:space="preserve"> and </w:t>
      </w:r>
      <w:r w:rsidR="00184E16" w:rsidRPr="00DC2CE0">
        <w:rPr>
          <w:lang w:eastAsia="en-US"/>
        </w:rPr>
        <w:t>her family</w:t>
      </w:r>
      <w:r w:rsidR="003B2675" w:rsidRPr="00DC2CE0">
        <w:rPr>
          <w:lang w:eastAsia="en-US"/>
        </w:rPr>
        <w:t xml:space="preserve">. </w:t>
      </w:r>
    </w:p>
    <w:p w:rsidR="00184E16" w:rsidRPr="00DC2CE0" w:rsidRDefault="00184E16" w:rsidP="00184E16">
      <w:pPr>
        <w:tabs>
          <w:tab w:val="left" w:pos="567"/>
        </w:tabs>
        <w:suppressAutoHyphens/>
        <w:autoSpaceDE w:val="0"/>
        <w:ind w:left="360"/>
        <w:jc w:val="both"/>
        <w:rPr>
          <w:lang w:eastAsia="en-US"/>
        </w:rPr>
      </w:pPr>
    </w:p>
    <w:p w:rsidR="00AB0FE5" w:rsidRPr="00DC2CE0" w:rsidRDefault="00184E16" w:rsidP="00AB0FE5">
      <w:pPr>
        <w:numPr>
          <w:ilvl w:val="0"/>
          <w:numId w:val="15"/>
        </w:numPr>
        <w:tabs>
          <w:tab w:val="left" w:pos="567"/>
        </w:tabs>
        <w:suppressAutoHyphens/>
        <w:autoSpaceDE w:val="0"/>
        <w:jc w:val="both"/>
        <w:rPr>
          <w:lang w:eastAsia="en-US"/>
        </w:rPr>
      </w:pPr>
      <w:r w:rsidRPr="00DC2CE0">
        <w:rPr>
          <w:lang w:eastAsia="en-US"/>
        </w:rPr>
        <w:t xml:space="preserve">In the comments on the merits of the case, the SRSG refutes any violation of Article 3 of the ECHR </w:t>
      </w:r>
      <w:r w:rsidR="00AB0FE5" w:rsidRPr="00DC2CE0">
        <w:rPr>
          <w:lang w:eastAsia="en-US"/>
        </w:rPr>
        <w:t>for</w:t>
      </w:r>
      <w:r w:rsidRPr="00DC2CE0">
        <w:rPr>
          <w:lang w:eastAsia="en-US"/>
        </w:rPr>
        <w:t xml:space="preserve"> the reason that “the complainant appears to have been involved, as evidenced by the UNMIK documentation, in reporting information about Mr </w:t>
      </w:r>
      <w:proofErr w:type="spellStart"/>
      <w:r w:rsidRPr="00DC2CE0">
        <w:rPr>
          <w:lang w:eastAsia="en-US"/>
        </w:rPr>
        <w:t>Pavić</w:t>
      </w:r>
      <w:proofErr w:type="spellEnd"/>
      <w:r w:rsidR="00BC7289" w:rsidRPr="00DC2CE0">
        <w:rPr>
          <w:lang w:eastAsia="en-US"/>
        </w:rPr>
        <w:t xml:space="preserve"> </w:t>
      </w:r>
      <w:r w:rsidRPr="00DC2CE0">
        <w:rPr>
          <w:lang w:eastAsia="en-US"/>
        </w:rPr>
        <w:t xml:space="preserve">and in providing information to UNMIK periodically during investigative efforts by UNMIK into the matter”. </w:t>
      </w:r>
      <w:r w:rsidR="00BC7289" w:rsidRPr="00DC2CE0">
        <w:rPr>
          <w:lang w:eastAsia="en-US"/>
        </w:rPr>
        <w:t xml:space="preserve">In addition the SRSG asserts that “there is no documentation or claim that UNMIK acted inappropriately when responding to inquiries of the </w:t>
      </w:r>
      <w:r w:rsidR="00AB0FE5" w:rsidRPr="00DC2CE0">
        <w:rPr>
          <w:lang w:eastAsia="en-US"/>
        </w:rPr>
        <w:t>complainant</w:t>
      </w:r>
      <w:r w:rsidR="00BC7289" w:rsidRPr="00DC2CE0">
        <w:rPr>
          <w:lang w:eastAsia="en-US"/>
        </w:rPr>
        <w:t xml:space="preserve"> or confronted the complainant with an attitude of the type required for finding of a violation of Article 3</w:t>
      </w:r>
      <w:r w:rsidR="00AB0FE5" w:rsidRPr="00DC2CE0">
        <w:rPr>
          <w:lang w:eastAsia="en-US"/>
        </w:rPr>
        <w:t>”</w:t>
      </w:r>
      <w:r w:rsidR="00BC7289" w:rsidRPr="00DC2CE0">
        <w:rPr>
          <w:lang w:eastAsia="en-US"/>
        </w:rPr>
        <w:t xml:space="preserve">. </w:t>
      </w:r>
    </w:p>
    <w:p w:rsidR="00AB0FE5" w:rsidRPr="00DC2CE0" w:rsidRDefault="00AB0FE5" w:rsidP="00AB0FE5">
      <w:pPr>
        <w:pStyle w:val="ListParagraph"/>
        <w:rPr>
          <w:lang w:eastAsia="en-US"/>
        </w:rPr>
      </w:pPr>
    </w:p>
    <w:p w:rsidR="00BC7289" w:rsidRPr="00DC2CE0" w:rsidRDefault="008955F8" w:rsidP="00AB0FE5">
      <w:pPr>
        <w:numPr>
          <w:ilvl w:val="0"/>
          <w:numId w:val="15"/>
        </w:numPr>
        <w:tabs>
          <w:tab w:val="left" w:pos="567"/>
        </w:tabs>
        <w:suppressAutoHyphens/>
        <w:autoSpaceDE w:val="0"/>
        <w:jc w:val="both"/>
        <w:rPr>
          <w:lang w:eastAsia="en-US"/>
        </w:rPr>
      </w:pPr>
      <w:r w:rsidRPr="00DC2CE0">
        <w:rPr>
          <w:lang w:eastAsia="en-US"/>
        </w:rPr>
        <w:t>Finally</w:t>
      </w:r>
      <w:r w:rsidR="00BC7289" w:rsidRPr="00DC2CE0">
        <w:rPr>
          <w:lang w:eastAsia="en-US"/>
        </w:rPr>
        <w:t>, the SRSG</w:t>
      </w:r>
      <w:r w:rsidR="00BC7289" w:rsidRPr="00DC2CE0">
        <w:t xml:space="preserve"> </w:t>
      </w:r>
      <w:r w:rsidRPr="00DC2CE0">
        <w:t xml:space="preserve">states </w:t>
      </w:r>
      <w:r w:rsidR="00BC7289" w:rsidRPr="00DC2CE0">
        <w:t xml:space="preserve">that any mental anguish and suffering of the complainant cannot be attributed to UNMIK, but rather results from the disappearance of </w:t>
      </w:r>
      <w:r w:rsidRPr="00DC2CE0">
        <w:t>her husband</w:t>
      </w:r>
      <w:r w:rsidR="00BC7289" w:rsidRPr="00DC2CE0">
        <w:t>. The SRSG concludes that the complainant’s suffering lacks a character distinct from the emotional distress which may be regarded as inevitably caused to the relatives of a victim of a serious human rights violation.</w:t>
      </w:r>
    </w:p>
    <w:p w:rsidR="008955F8" w:rsidRPr="00DC2CE0" w:rsidRDefault="008955F8" w:rsidP="008955F8">
      <w:pPr>
        <w:jc w:val="both"/>
      </w:pPr>
    </w:p>
    <w:p w:rsidR="007D7EC6" w:rsidRPr="00DC2CE0" w:rsidRDefault="007D7EC6" w:rsidP="001707FB">
      <w:pPr>
        <w:pStyle w:val="ListParagraph"/>
        <w:numPr>
          <w:ilvl w:val="0"/>
          <w:numId w:val="9"/>
        </w:numPr>
        <w:jc w:val="both"/>
        <w:rPr>
          <w:b/>
        </w:rPr>
      </w:pPr>
      <w:r w:rsidRPr="00DC2CE0">
        <w:rPr>
          <w:b/>
        </w:rPr>
        <w:t xml:space="preserve">The Panel’s assessment </w:t>
      </w:r>
    </w:p>
    <w:p w:rsidR="007D7EC6" w:rsidRPr="00DC2CE0" w:rsidRDefault="007D7EC6" w:rsidP="007D7EC6">
      <w:pPr>
        <w:pStyle w:val="ListParagraph"/>
        <w:ind w:left="360"/>
        <w:jc w:val="both"/>
      </w:pPr>
    </w:p>
    <w:p w:rsidR="007D7EC6" w:rsidRPr="00DC2CE0" w:rsidRDefault="007D7EC6" w:rsidP="001707FB">
      <w:pPr>
        <w:pStyle w:val="ListParagraph"/>
        <w:numPr>
          <w:ilvl w:val="0"/>
          <w:numId w:val="10"/>
        </w:numPr>
        <w:jc w:val="both"/>
        <w:rPr>
          <w:i/>
        </w:rPr>
      </w:pPr>
      <w:r w:rsidRPr="00DC2CE0">
        <w:rPr>
          <w:i/>
        </w:rPr>
        <w:t>General principles concerning the obligation under Article 3</w:t>
      </w:r>
    </w:p>
    <w:p w:rsidR="007D7EC6" w:rsidRPr="00DC2CE0" w:rsidRDefault="007D7EC6" w:rsidP="007D7EC6">
      <w:pPr>
        <w:pStyle w:val="ListParagraph"/>
        <w:rPr>
          <w:lang w:eastAsia="en-US"/>
        </w:rPr>
      </w:pPr>
    </w:p>
    <w:p w:rsidR="007D7EC6" w:rsidRPr="00DC2CE0" w:rsidRDefault="007D7EC6" w:rsidP="00643DBA">
      <w:pPr>
        <w:numPr>
          <w:ilvl w:val="0"/>
          <w:numId w:val="15"/>
        </w:numPr>
        <w:tabs>
          <w:tab w:val="left" w:pos="567"/>
        </w:tabs>
        <w:suppressAutoHyphens/>
        <w:autoSpaceDE w:val="0"/>
        <w:jc w:val="both"/>
      </w:pPr>
      <w:r w:rsidRPr="00DC2CE0">
        <w:rPr>
          <w:lang w:eastAsia="en-US"/>
        </w:rPr>
        <w:t>Like Article 2, Article 3 of the ECHR enshrines one of the most fundamental values in democratic societies (</w:t>
      </w:r>
      <w:proofErr w:type="spellStart"/>
      <w:r w:rsidRPr="00DC2CE0">
        <w:rPr>
          <w:lang w:eastAsia="en-US"/>
        </w:rPr>
        <w:t>ECtHR</w:t>
      </w:r>
      <w:proofErr w:type="spellEnd"/>
      <w:r w:rsidRPr="00DC2CE0">
        <w:rPr>
          <w:lang w:eastAsia="en-US"/>
        </w:rPr>
        <w:t xml:space="preserve">, </w:t>
      </w:r>
      <w:proofErr w:type="spellStart"/>
      <w:r w:rsidRPr="00DC2CE0">
        <w:rPr>
          <w:i/>
          <w:lang w:eastAsia="en-US"/>
        </w:rPr>
        <w:t>Talat</w:t>
      </w:r>
      <w:proofErr w:type="spellEnd"/>
      <w:r w:rsidRPr="00DC2CE0">
        <w:rPr>
          <w:i/>
          <w:lang w:eastAsia="en-US"/>
        </w:rPr>
        <w:t xml:space="preserve"> </w:t>
      </w:r>
      <w:proofErr w:type="spellStart"/>
      <w:r w:rsidRPr="00DC2CE0">
        <w:rPr>
          <w:i/>
          <w:lang w:eastAsia="en-US"/>
        </w:rPr>
        <w:t>Tepe</w:t>
      </w:r>
      <w:proofErr w:type="spellEnd"/>
      <w:r w:rsidRPr="00DC2CE0">
        <w:rPr>
          <w:i/>
          <w:lang w:eastAsia="en-US"/>
        </w:rPr>
        <w:t xml:space="preserve"> v. Turkey</w:t>
      </w:r>
      <w:r w:rsidRPr="00DC2CE0">
        <w:rPr>
          <w:lang w:eastAsia="en-US"/>
        </w:rPr>
        <w:t>, no. 31247/96, 21 December 2</w:t>
      </w:r>
      <w:r w:rsidR="001E46B2" w:rsidRPr="00DC2CE0">
        <w:rPr>
          <w:lang w:eastAsia="en-US"/>
        </w:rPr>
        <w:t xml:space="preserve">004, § 47; </w:t>
      </w:r>
      <w:proofErr w:type="spellStart"/>
      <w:r w:rsidR="001E46B2" w:rsidRPr="00DC2CE0">
        <w:rPr>
          <w:lang w:eastAsia="en-US"/>
        </w:rPr>
        <w:t>ECtHR</w:t>
      </w:r>
      <w:proofErr w:type="spellEnd"/>
      <w:r w:rsidR="001E46B2" w:rsidRPr="00DC2CE0">
        <w:rPr>
          <w:lang w:eastAsia="en-US"/>
        </w:rPr>
        <w:t xml:space="preserve"> [GC]</w:t>
      </w:r>
      <w:r w:rsidRPr="00DC2CE0">
        <w:rPr>
          <w:lang w:eastAsia="en-US"/>
        </w:rPr>
        <w:t xml:space="preserve">, </w:t>
      </w:r>
      <w:proofErr w:type="spellStart"/>
      <w:r w:rsidRPr="00DC2CE0">
        <w:rPr>
          <w:i/>
          <w:lang w:eastAsia="en-US"/>
        </w:rPr>
        <w:t>Ilaşcu</w:t>
      </w:r>
      <w:proofErr w:type="spellEnd"/>
      <w:r w:rsidRPr="00DC2CE0">
        <w:rPr>
          <w:i/>
          <w:lang w:eastAsia="en-US"/>
        </w:rPr>
        <w:t xml:space="preserve"> and Others v. Moldova and Russia</w:t>
      </w:r>
      <w:r w:rsidRPr="00DC2CE0">
        <w:rPr>
          <w:lang w:eastAsia="en-US"/>
        </w:rPr>
        <w:t xml:space="preserve">, no. 48787/99, judgment of 8 July 2004, </w:t>
      </w:r>
      <w:r w:rsidRPr="00DC2CE0">
        <w:rPr>
          <w:i/>
          <w:lang w:eastAsia="en-US"/>
        </w:rPr>
        <w:t>ECHR</w:t>
      </w:r>
      <w:r w:rsidRPr="00DC2CE0">
        <w:rPr>
          <w:lang w:eastAsia="en-US"/>
        </w:rPr>
        <w:t xml:space="preserve">, 2004-VII, § 424). As confirmed by the absolute nature conferred on it by Article 15 § 2 of the ECHR, the prohibition of torture and inhuman and degrading treatment still applies even in most difficult circumstances. </w:t>
      </w:r>
    </w:p>
    <w:p w:rsidR="007D7EC6" w:rsidRPr="00DC2CE0" w:rsidRDefault="007D7EC6" w:rsidP="007D7EC6">
      <w:pPr>
        <w:pStyle w:val="ListParagraph"/>
        <w:ind w:left="360"/>
        <w:jc w:val="both"/>
      </w:pPr>
    </w:p>
    <w:p w:rsidR="007D7EC6" w:rsidRPr="00DC2CE0" w:rsidRDefault="007D7EC6" w:rsidP="00643DBA">
      <w:pPr>
        <w:numPr>
          <w:ilvl w:val="0"/>
          <w:numId w:val="15"/>
        </w:numPr>
        <w:tabs>
          <w:tab w:val="left" w:pos="567"/>
        </w:tabs>
        <w:suppressAutoHyphens/>
        <w:autoSpaceDE w:val="0"/>
        <w:jc w:val="both"/>
      </w:pPr>
      <w:r w:rsidRPr="00DC2CE0">
        <w:rPr>
          <w:lang w:eastAsia="en-US"/>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DC2CE0">
        <w:rPr>
          <w:lang w:eastAsia="en-US"/>
        </w:rPr>
        <w:t>IACtHR</w:t>
      </w:r>
      <w:proofErr w:type="spellEnd"/>
      <w:r w:rsidRPr="00DC2CE0">
        <w:rPr>
          <w:lang w:eastAsia="en-US"/>
        </w:rPr>
        <w:t xml:space="preserve">, </w:t>
      </w:r>
      <w:r w:rsidRPr="00DC2CE0">
        <w:rPr>
          <w:i/>
          <w:lang w:eastAsia="en-US"/>
        </w:rPr>
        <w:t>Velasquez Rodriguez v. Honduras</w:t>
      </w:r>
      <w:r w:rsidRPr="00DC2CE0">
        <w:rPr>
          <w:lang w:eastAsia="en-US"/>
        </w:rPr>
        <w:t xml:space="preserve">, cited in § </w:t>
      </w:r>
      <w:r w:rsidR="002C706F" w:rsidRPr="00DC2CE0">
        <w:rPr>
          <w:lang w:eastAsia="en-US"/>
        </w:rPr>
        <w:t>69</w:t>
      </w:r>
      <w:r w:rsidRPr="00DC2CE0">
        <w:rPr>
          <w:lang w:eastAsia="en-US"/>
        </w:rPr>
        <w:t xml:space="preserve"> above, at § 150).</w:t>
      </w:r>
    </w:p>
    <w:p w:rsidR="007D7EC6" w:rsidRPr="00DC2CE0" w:rsidRDefault="007D7EC6" w:rsidP="007D7EC6">
      <w:pPr>
        <w:pStyle w:val="ListParagraph"/>
        <w:rPr>
          <w:lang w:eastAsia="en-US"/>
        </w:rPr>
      </w:pPr>
    </w:p>
    <w:p w:rsidR="007D7EC6" w:rsidRPr="00DC2CE0" w:rsidRDefault="007D7EC6" w:rsidP="00643DBA">
      <w:pPr>
        <w:numPr>
          <w:ilvl w:val="0"/>
          <w:numId w:val="15"/>
        </w:numPr>
        <w:tabs>
          <w:tab w:val="left" w:pos="567"/>
        </w:tabs>
        <w:suppressAutoHyphens/>
        <w:autoSpaceDE w:val="0"/>
        <w:jc w:val="both"/>
      </w:pPr>
      <w:r w:rsidRPr="00DC2CE0">
        <w:rPr>
          <w:lang w:eastAsia="en-US"/>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7D7EC6" w:rsidRPr="00DC2CE0" w:rsidRDefault="007D7EC6" w:rsidP="007D7EC6">
      <w:pPr>
        <w:pStyle w:val="ListParagraph"/>
        <w:rPr>
          <w:lang w:eastAsia="en-US"/>
        </w:rPr>
      </w:pPr>
    </w:p>
    <w:p w:rsidR="007D7EC6" w:rsidRPr="00DC2CE0" w:rsidRDefault="007D7EC6" w:rsidP="00643DBA">
      <w:pPr>
        <w:numPr>
          <w:ilvl w:val="0"/>
          <w:numId w:val="15"/>
        </w:numPr>
        <w:tabs>
          <w:tab w:val="left" w:pos="567"/>
        </w:tabs>
        <w:suppressAutoHyphens/>
        <w:autoSpaceDE w:val="0"/>
        <w:jc w:val="both"/>
      </w:pPr>
      <w:r w:rsidRPr="00DC2CE0">
        <w:rPr>
          <w:lang w:eastAsia="en-US"/>
        </w:rPr>
        <w:t xml:space="preserve">The HRC has also recognised disappearances as a serious violation of human rights. In its decision of 21 July 1983, in the case </w:t>
      </w:r>
      <w:proofErr w:type="spellStart"/>
      <w:r w:rsidRPr="00DC2CE0">
        <w:rPr>
          <w:i/>
          <w:lang w:eastAsia="en-US"/>
        </w:rPr>
        <w:t>Quinteros</w:t>
      </w:r>
      <w:proofErr w:type="spellEnd"/>
      <w:r w:rsidRPr="00DC2CE0">
        <w:rPr>
          <w:i/>
          <w:lang w:eastAsia="en-US"/>
        </w:rPr>
        <w:t xml:space="preserve"> v. </w:t>
      </w:r>
      <w:proofErr w:type="spellStart"/>
      <w:r w:rsidRPr="00DC2CE0">
        <w:rPr>
          <w:i/>
          <w:lang w:eastAsia="en-US"/>
        </w:rPr>
        <w:t>Urugay</w:t>
      </w:r>
      <w:proofErr w:type="spellEnd"/>
      <w:r w:rsidRPr="00DC2CE0">
        <w:rPr>
          <w:lang w:eastAsia="en-US"/>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DC2CE0">
        <w:rPr>
          <w:i/>
          <w:lang w:eastAsia="en-US"/>
        </w:rPr>
        <w:t>Mojica</w:t>
      </w:r>
      <w:proofErr w:type="spellEnd"/>
      <w:r w:rsidRPr="00DC2CE0">
        <w:rPr>
          <w:i/>
          <w:lang w:eastAsia="en-US"/>
        </w:rPr>
        <w:t xml:space="preserve"> v. Dominican Republic</w:t>
      </w:r>
      <w:r w:rsidRPr="00DC2CE0">
        <w:rPr>
          <w:lang w:eastAsia="en-US"/>
        </w:rPr>
        <w:t xml:space="preserve">, the HRC has deemed that “the disappearance of persons is inseparably linked to treatment that amounts to a violation of article 7 </w:t>
      </w:r>
      <w:r w:rsidRPr="00DC2CE0">
        <w:rPr>
          <w:lang w:eastAsia="en-US"/>
        </w:rPr>
        <w:sym w:font="Symbol" w:char="F05B"/>
      </w:r>
      <w:r w:rsidRPr="00DC2CE0">
        <w:rPr>
          <w:lang w:eastAsia="en-US"/>
        </w:rPr>
        <w:t>of the Covenant</w:t>
      </w:r>
      <w:r w:rsidRPr="00DC2CE0">
        <w:rPr>
          <w:lang w:eastAsia="en-US"/>
        </w:rPr>
        <w:sym w:font="Symbol" w:char="F05D"/>
      </w:r>
      <w:r w:rsidRPr="00DC2CE0">
        <w:rPr>
          <w:lang w:eastAsia="en-US"/>
        </w:rPr>
        <w:t xml:space="preserve">”, also prohibiting torture, inhumane or degrading treatment and punishment (see HRC, </w:t>
      </w:r>
      <w:r w:rsidRPr="00DC2CE0">
        <w:rPr>
          <w:bCs/>
          <w:lang w:eastAsia="en-US"/>
        </w:rPr>
        <w:t xml:space="preserve">Communication No. 449/1991, U.N. Doc. CCPR/C/51/D/449/1991 (1994), </w:t>
      </w:r>
      <w:r w:rsidRPr="00DC2CE0">
        <w:rPr>
          <w:lang w:eastAsia="en-US"/>
        </w:rPr>
        <w:t>§ 5.7).</w:t>
      </w:r>
    </w:p>
    <w:p w:rsidR="007D7EC6" w:rsidRPr="00DC2CE0" w:rsidRDefault="007D7EC6" w:rsidP="007D7EC6">
      <w:pPr>
        <w:pStyle w:val="ListParagraph"/>
        <w:rPr>
          <w:lang w:eastAsia="en-US"/>
        </w:rPr>
      </w:pPr>
    </w:p>
    <w:p w:rsidR="007D7EC6" w:rsidRPr="00DC2CE0" w:rsidRDefault="007D7EC6" w:rsidP="00643DBA">
      <w:pPr>
        <w:numPr>
          <w:ilvl w:val="0"/>
          <w:numId w:val="15"/>
        </w:numPr>
        <w:tabs>
          <w:tab w:val="left" w:pos="567"/>
        </w:tabs>
        <w:suppressAutoHyphens/>
        <w:autoSpaceDE w:val="0"/>
        <w:jc w:val="both"/>
      </w:pPr>
      <w:r w:rsidRPr="00DC2CE0">
        <w:rPr>
          <w:lang w:eastAsia="en-US"/>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C2CE0">
        <w:rPr>
          <w:lang w:eastAsia="en-US"/>
        </w:rPr>
        <w:sym w:font="Symbol" w:char="F05B"/>
      </w:r>
      <w:r w:rsidRPr="00DC2CE0">
        <w:rPr>
          <w:lang w:eastAsia="en-US"/>
        </w:rPr>
        <w:t>family member</w:t>
      </w:r>
      <w:r w:rsidRPr="00DC2CE0">
        <w:rPr>
          <w:lang w:eastAsia="en-US"/>
        </w:rPr>
        <w:sym w:font="Symbol" w:char="F05D"/>
      </w:r>
      <w:r w:rsidRPr="00DC2CE0">
        <w:rPr>
          <w:lang w:eastAsia="en-US"/>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DC2CE0">
        <w:rPr>
          <w:lang w:eastAsia="en-US"/>
        </w:rPr>
        <w:t>ECtHR</w:t>
      </w:r>
      <w:proofErr w:type="spellEnd"/>
      <w:r w:rsidRPr="00DC2CE0">
        <w:rPr>
          <w:lang w:eastAsia="en-US"/>
        </w:rPr>
        <w:t xml:space="preserve">, </w:t>
      </w:r>
      <w:proofErr w:type="spellStart"/>
      <w:r w:rsidRPr="00DC2CE0">
        <w:rPr>
          <w:i/>
          <w:lang w:eastAsia="en-US"/>
        </w:rPr>
        <w:t>Baysayeva</w:t>
      </w:r>
      <w:proofErr w:type="spellEnd"/>
      <w:r w:rsidRPr="00DC2CE0">
        <w:rPr>
          <w:i/>
          <w:lang w:eastAsia="en-US"/>
        </w:rPr>
        <w:t xml:space="preserve"> and Others v. Russia</w:t>
      </w:r>
      <w:r w:rsidRPr="00DC2CE0">
        <w:rPr>
          <w:lang w:eastAsia="en-US"/>
        </w:rPr>
        <w:t xml:space="preserve">, nos. 15441/05 and 20731/04, judgment of 28 May 2009, § 159; </w:t>
      </w:r>
      <w:proofErr w:type="spellStart"/>
      <w:r w:rsidRPr="00DC2CE0">
        <w:rPr>
          <w:lang w:eastAsia="en-US"/>
        </w:rPr>
        <w:t>ECtHR</w:t>
      </w:r>
      <w:proofErr w:type="spellEnd"/>
      <w:r w:rsidRPr="00DC2CE0">
        <w:rPr>
          <w:lang w:eastAsia="en-US"/>
        </w:rPr>
        <w:t xml:space="preserve">, </w:t>
      </w:r>
      <w:proofErr w:type="spellStart"/>
      <w:r w:rsidRPr="00DC2CE0">
        <w:rPr>
          <w:i/>
          <w:lang w:eastAsia="en-US"/>
        </w:rPr>
        <w:t>Er</w:t>
      </w:r>
      <w:proofErr w:type="spellEnd"/>
      <w:r w:rsidRPr="00DC2CE0">
        <w:rPr>
          <w:i/>
          <w:lang w:eastAsia="en-US"/>
        </w:rPr>
        <w:t xml:space="preserve"> and Others v. Turkey</w:t>
      </w:r>
      <w:r w:rsidRPr="00DC2CE0">
        <w:rPr>
          <w:lang w:eastAsia="en-US"/>
        </w:rPr>
        <w:t xml:space="preserve">, cited in § </w:t>
      </w:r>
      <w:r w:rsidR="002C706F" w:rsidRPr="00DC2CE0">
        <w:t>101</w:t>
      </w:r>
      <w:r w:rsidRPr="00DC2CE0">
        <w:rPr>
          <w:lang w:eastAsia="en-US"/>
        </w:rPr>
        <w:t xml:space="preserve"> above, at § 94).</w:t>
      </w:r>
    </w:p>
    <w:p w:rsidR="007D7EC6" w:rsidRPr="00DC2CE0" w:rsidRDefault="007D7EC6" w:rsidP="007D7EC6">
      <w:pPr>
        <w:pStyle w:val="ListParagraph"/>
        <w:ind w:left="360"/>
        <w:jc w:val="both"/>
      </w:pPr>
    </w:p>
    <w:p w:rsidR="007D7EC6" w:rsidRPr="00DC2CE0" w:rsidRDefault="007D7EC6" w:rsidP="00643DBA">
      <w:pPr>
        <w:numPr>
          <w:ilvl w:val="0"/>
          <w:numId w:val="15"/>
        </w:numPr>
        <w:tabs>
          <w:tab w:val="left" w:pos="567"/>
        </w:tabs>
        <w:suppressAutoHyphens/>
        <w:autoSpaceDE w:val="0"/>
        <w:jc w:val="both"/>
      </w:pPr>
      <w:r w:rsidRPr="00DC2CE0">
        <w:rPr>
          <w:lang w:eastAsia="en-US"/>
        </w:rPr>
        <w:t>The Panel takes note that, when assessing the em</w:t>
      </w:r>
      <w:r w:rsidR="00663B20" w:rsidRPr="00DC2CE0">
        <w:rPr>
          <w:lang w:eastAsia="en-US"/>
        </w:rPr>
        <w:t>otional suffering of the victim</w:t>
      </w:r>
      <w:r w:rsidRPr="00DC2CE0">
        <w:rPr>
          <w:lang w:eastAsia="en-US"/>
        </w:rPr>
        <w:t xml:space="preserve">,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DC2CE0">
        <w:rPr>
          <w:lang w:eastAsia="en-US"/>
        </w:rPr>
        <w:t>ECtHR</w:t>
      </w:r>
      <w:proofErr w:type="spellEnd"/>
      <w:r w:rsidRPr="00DC2CE0">
        <w:rPr>
          <w:lang w:eastAsia="en-US"/>
        </w:rPr>
        <w:t xml:space="preserve">, </w:t>
      </w:r>
      <w:proofErr w:type="spellStart"/>
      <w:r w:rsidRPr="00DC2CE0">
        <w:rPr>
          <w:i/>
          <w:lang w:eastAsia="en-US"/>
        </w:rPr>
        <w:t>Er</w:t>
      </w:r>
      <w:proofErr w:type="spellEnd"/>
      <w:r w:rsidRPr="00DC2CE0">
        <w:rPr>
          <w:i/>
          <w:lang w:eastAsia="en-US"/>
        </w:rPr>
        <w:t xml:space="preserve"> and Others v. Turkey,</w:t>
      </w:r>
      <w:r w:rsidRPr="00DC2CE0">
        <w:rPr>
          <w:lang w:eastAsia="en-US"/>
        </w:rPr>
        <w:t xml:space="preserve"> cited in § </w:t>
      </w:r>
      <w:r w:rsidR="002C706F" w:rsidRPr="00DC2CE0">
        <w:t>101</w:t>
      </w:r>
      <w:r w:rsidRPr="00DC2CE0">
        <w:rPr>
          <w:lang w:eastAsia="en-US"/>
        </w:rPr>
        <w:t xml:space="preserve"> above, at § 96; </w:t>
      </w:r>
      <w:proofErr w:type="spellStart"/>
      <w:r w:rsidRPr="00DC2CE0">
        <w:rPr>
          <w:lang w:eastAsia="en-US"/>
        </w:rPr>
        <w:t>ECtHR</w:t>
      </w:r>
      <w:proofErr w:type="spellEnd"/>
      <w:r w:rsidRPr="00DC2CE0">
        <w:rPr>
          <w:lang w:eastAsia="en-US"/>
        </w:rPr>
        <w:t xml:space="preserve">, </w:t>
      </w:r>
      <w:proofErr w:type="spellStart"/>
      <w:r w:rsidRPr="00DC2CE0">
        <w:rPr>
          <w:i/>
          <w:lang w:eastAsia="en-US"/>
        </w:rPr>
        <w:t>Osmanoğlu</w:t>
      </w:r>
      <w:proofErr w:type="spellEnd"/>
      <w:r w:rsidRPr="00DC2CE0">
        <w:rPr>
          <w:i/>
          <w:lang w:eastAsia="en-US"/>
        </w:rPr>
        <w:t xml:space="preserve"> v. Turkey,</w:t>
      </w:r>
      <w:r w:rsidRPr="00DC2CE0">
        <w:rPr>
          <w:lang w:eastAsia="en-US"/>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DC2CE0">
        <w:rPr>
          <w:lang w:eastAsia="en-US"/>
        </w:rPr>
        <w:t>ECtHR</w:t>
      </w:r>
      <w:proofErr w:type="spellEnd"/>
      <w:r w:rsidRPr="00DC2CE0">
        <w:rPr>
          <w:lang w:eastAsia="en-US"/>
        </w:rPr>
        <w:t xml:space="preserve">, </w:t>
      </w:r>
      <w:proofErr w:type="spellStart"/>
      <w:r w:rsidRPr="00DC2CE0">
        <w:rPr>
          <w:i/>
          <w:lang w:eastAsia="en-US"/>
        </w:rPr>
        <w:t>Salakhov</w:t>
      </w:r>
      <w:proofErr w:type="spellEnd"/>
      <w:r w:rsidRPr="00DC2CE0">
        <w:rPr>
          <w:i/>
          <w:lang w:eastAsia="en-US"/>
        </w:rPr>
        <w:t xml:space="preserve"> and </w:t>
      </w:r>
      <w:proofErr w:type="spellStart"/>
      <w:r w:rsidRPr="00DC2CE0">
        <w:rPr>
          <w:i/>
          <w:lang w:eastAsia="en-US"/>
        </w:rPr>
        <w:t>Islyamova</w:t>
      </w:r>
      <w:proofErr w:type="spellEnd"/>
      <w:r w:rsidRPr="00DC2CE0">
        <w:rPr>
          <w:i/>
          <w:lang w:eastAsia="en-US"/>
        </w:rPr>
        <w:t xml:space="preserve"> v. Ukraine,</w:t>
      </w:r>
      <w:r w:rsidRPr="00DC2CE0">
        <w:rPr>
          <w:lang w:eastAsia="en-US"/>
        </w:rPr>
        <w:t xml:space="preserve"> no. 28005/08, judgment of 14 March 2013, § 201).</w:t>
      </w:r>
    </w:p>
    <w:p w:rsidR="007D7EC6" w:rsidRPr="00DC2CE0" w:rsidRDefault="007D7EC6" w:rsidP="007D7EC6">
      <w:pPr>
        <w:pStyle w:val="ListParagraph"/>
        <w:ind w:left="360"/>
        <w:jc w:val="both"/>
      </w:pPr>
    </w:p>
    <w:p w:rsidR="007D7EC6" w:rsidRPr="00DC2CE0" w:rsidRDefault="007D7EC6" w:rsidP="00643DBA">
      <w:pPr>
        <w:numPr>
          <w:ilvl w:val="0"/>
          <w:numId w:val="15"/>
        </w:numPr>
        <w:tabs>
          <w:tab w:val="left" w:pos="567"/>
        </w:tabs>
        <w:suppressAutoHyphens/>
        <w:autoSpaceDE w:val="0"/>
        <w:jc w:val="both"/>
      </w:pPr>
      <w:r w:rsidRPr="00DC2CE0">
        <w:rPr>
          <w:lang w:eastAsia="en-US"/>
        </w:rPr>
        <w:t>The HRC has also considered the issue and recognised family members of disappeared or missing persons as victims of a violation of Article 7 of the Covenant: parents (</w:t>
      </w:r>
      <w:proofErr w:type="spellStart"/>
      <w:r w:rsidRPr="00DC2CE0">
        <w:rPr>
          <w:i/>
          <w:lang w:eastAsia="en-US"/>
        </w:rPr>
        <w:t>Boucherf</w:t>
      </w:r>
      <w:proofErr w:type="spellEnd"/>
      <w:r w:rsidRPr="00DC2CE0">
        <w:rPr>
          <w:i/>
          <w:lang w:eastAsia="en-US"/>
        </w:rPr>
        <w:t xml:space="preserve"> v. Algeria</w:t>
      </w:r>
      <w:r w:rsidRPr="00DC2CE0">
        <w:rPr>
          <w:lang w:eastAsia="en-US"/>
        </w:rPr>
        <w:t xml:space="preserve">, </w:t>
      </w:r>
      <w:r w:rsidRPr="00DC2CE0">
        <w:rPr>
          <w:bCs/>
          <w:lang w:eastAsia="en-US"/>
        </w:rPr>
        <w:t>Communication No. 1196/2003</w:t>
      </w:r>
      <w:r w:rsidRPr="00DC2CE0">
        <w:rPr>
          <w:lang w:eastAsia="en-US"/>
        </w:rPr>
        <w:t>, views of 30 March 2006, § 9.7, CCPR/C/86/D/1196/2003), children (</w:t>
      </w:r>
      <w:proofErr w:type="spellStart"/>
      <w:r w:rsidRPr="00DC2CE0">
        <w:rPr>
          <w:i/>
          <w:lang w:eastAsia="en-US"/>
        </w:rPr>
        <w:t>Zarzi</w:t>
      </w:r>
      <w:proofErr w:type="spellEnd"/>
      <w:r w:rsidRPr="00DC2CE0">
        <w:rPr>
          <w:i/>
          <w:lang w:eastAsia="en-US"/>
        </w:rPr>
        <w:t xml:space="preserve"> v. Algeria</w:t>
      </w:r>
      <w:r w:rsidRPr="00DC2CE0">
        <w:rPr>
          <w:lang w:eastAsia="en-US"/>
        </w:rPr>
        <w:t xml:space="preserve">, </w:t>
      </w:r>
      <w:r w:rsidRPr="00DC2CE0">
        <w:rPr>
          <w:bCs/>
          <w:lang w:eastAsia="en-US"/>
        </w:rPr>
        <w:t>Communication No. 1780/2008</w:t>
      </w:r>
      <w:r w:rsidRPr="00DC2CE0">
        <w:rPr>
          <w:lang w:eastAsia="en-US"/>
        </w:rPr>
        <w:t xml:space="preserve">, views of 22 March 2011, § 7.6, </w:t>
      </w:r>
      <w:r w:rsidRPr="00DC2CE0">
        <w:rPr>
          <w:bCs/>
          <w:lang w:eastAsia="en-US"/>
        </w:rPr>
        <w:t>CCPR/C/101/D/1780/2008</w:t>
      </w:r>
      <w:r w:rsidRPr="00DC2CE0">
        <w:rPr>
          <w:lang w:eastAsia="en-US"/>
        </w:rPr>
        <w:t>), siblings (</w:t>
      </w:r>
      <w:r w:rsidRPr="00DC2CE0">
        <w:rPr>
          <w:i/>
          <w:lang w:eastAsia="en-US"/>
        </w:rPr>
        <w:t xml:space="preserve">El </w:t>
      </w:r>
      <w:proofErr w:type="spellStart"/>
      <w:r w:rsidRPr="00DC2CE0">
        <w:rPr>
          <w:i/>
          <w:lang w:eastAsia="en-US"/>
        </w:rPr>
        <w:t>Abani</w:t>
      </w:r>
      <w:proofErr w:type="spellEnd"/>
      <w:r w:rsidRPr="00DC2CE0">
        <w:rPr>
          <w:i/>
          <w:lang w:eastAsia="en-US"/>
        </w:rPr>
        <w:t xml:space="preserve"> v. Libyan Arab Jamahiriya,</w:t>
      </w:r>
      <w:r w:rsidRPr="00DC2CE0">
        <w:rPr>
          <w:lang w:eastAsia="en-US"/>
        </w:rPr>
        <w:t xml:space="preserve"> </w:t>
      </w:r>
      <w:r w:rsidRPr="00DC2CE0">
        <w:rPr>
          <w:bCs/>
          <w:lang w:eastAsia="en-US"/>
        </w:rPr>
        <w:t>Communication No. 1640/2007</w:t>
      </w:r>
      <w:r w:rsidRPr="00DC2CE0">
        <w:rPr>
          <w:lang w:eastAsia="en-US"/>
        </w:rPr>
        <w:t xml:space="preserve">, views of 26 July 2010, § 7.5, </w:t>
      </w:r>
      <w:r w:rsidRPr="00DC2CE0">
        <w:rPr>
          <w:bCs/>
          <w:lang w:eastAsia="en-US"/>
        </w:rPr>
        <w:t>CCPR/C/99/D/1640/2007</w:t>
      </w:r>
      <w:r w:rsidRPr="00DC2CE0">
        <w:rPr>
          <w:lang w:eastAsia="en-US"/>
        </w:rPr>
        <w:t>), spouses (</w:t>
      </w:r>
      <w:proofErr w:type="spellStart"/>
      <w:r w:rsidRPr="00DC2CE0">
        <w:rPr>
          <w:i/>
          <w:lang w:eastAsia="en-US"/>
        </w:rPr>
        <w:t>Bousroual</w:t>
      </w:r>
      <w:proofErr w:type="spellEnd"/>
      <w:r w:rsidRPr="00DC2CE0">
        <w:rPr>
          <w:i/>
          <w:lang w:eastAsia="en-US"/>
        </w:rPr>
        <w:t xml:space="preserve"> v. Algeria</w:t>
      </w:r>
      <w:r w:rsidRPr="00DC2CE0">
        <w:rPr>
          <w:lang w:eastAsia="en-US"/>
        </w:rPr>
        <w:t xml:space="preserve">, </w:t>
      </w:r>
      <w:r w:rsidRPr="00DC2CE0">
        <w:rPr>
          <w:bCs/>
          <w:lang w:eastAsia="en-US"/>
        </w:rPr>
        <w:t>Communication No. 992/2001, views of</w:t>
      </w:r>
      <w:r w:rsidRPr="00DC2CE0">
        <w:rPr>
          <w:lang w:eastAsia="en-US"/>
        </w:rPr>
        <w:t xml:space="preserve"> 30 March 2006, § 9.8, CCPR/C/86/D/992/2001), aunts and uncles (</w:t>
      </w:r>
      <w:proofErr w:type="spellStart"/>
      <w:r w:rsidRPr="00DC2CE0">
        <w:rPr>
          <w:i/>
          <w:lang w:eastAsia="en-US"/>
        </w:rPr>
        <w:t>Benaziza</w:t>
      </w:r>
      <w:proofErr w:type="spellEnd"/>
      <w:r w:rsidRPr="00DC2CE0">
        <w:rPr>
          <w:i/>
          <w:lang w:eastAsia="en-US"/>
        </w:rPr>
        <w:t xml:space="preserve"> v. Algeria</w:t>
      </w:r>
      <w:r w:rsidRPr="00DC2CE0">
        <w:rPr>
          <w:lang w:eastAsia="en-US"/>
        </w:rPr>
        <w:t xml:space="preserve">, cited in § </w:t>
      </w:r>
      <w:r w:rsidR="002C706F" w:rsidRPr="00DC2CE0">
        <w:t>67</w:t>
      </w:r>
      <w:r w:rsidRPr="00DC2CE0">
        <w:rPr>
          <w:lang w:eastAsia="en-US"/>
        </w:rPr>
        <w:t xml:space="preserve"> above, at § 10), grandchildren (</w:t>
      </w:r>
      <w:r w:rsidRPr="00DC2CE0">
        <w:rPr>
          <w:i/>
          <w:lang w:eastAsia="en-US"/>
        </w:rPr>
        <w:t>ibid.</w:t>
      </w:r>
      <w:r w:rsidRPr="00DC2CE0">
        <w:rPr>
          <w:lang w:eastAsia="en-US"/>
        </w:rPr>
        <w:t>) and even cousins (</w:t>
      </w:r>
      <w:proofErr w:type="spellStart"/>
      <w:r w:rsidRPr="00DC2CE0">
        <w:rPr>
          <w:i/>
          <w:lang w:eastAsia="en-US"/>
        </w:rPr>
        <w:t>Bashasha</w:t>
      </w:r>
      <w:proofErr w:type="spellEnd"/>
      <w:r w:rsidRPr="00DC2CE0">
        <w:rPr>
          <w:i/>
          <w:lang w:eastAsia="en-US"/>
        </w:rPr>
        <w:t xml:space="preserve"> v. Libyan Arab Jamahiriya</w:t>
      </w:r>
      <w:r w:rsidRPr="00DC2CE0">
        <w:rPr>
          <w:lang w:eastAsia="en-US"/>
        </w:rPr>
        <w:t xml:space="preserve">, cited in § </w:t>
      </w:r>
      <w:r w:rsidR="002C706F" w:rsidRPr="00DC2CE0">
        <w:t>67</w:t>
      </w:r>
      <w:r w:rsidRPr="00DC2CE0">
        <w:rPr>
          <w:lang w:eastAsia="en-US"/>
        </w:rPr>
        <w:t xml:space="preserve"> above, at §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DC2CE0">
        <w:rPr>
          <w:i/>
          <w:lang w:eastAsia="en-US"/>
        </w:rPr>
        <w:t>Aboussedra</w:t>
      </w:r>
      <w:proofErr w:type="spellEnd"/>
      <w:r w:rsidRPr="00DC2CE0">
        <w:rPr>
          <w:i/>
          <w:lang w:eastAsia="en-US"/>
        </w:rPr>
        <w:t xml:space="preserve"> v. Libyan Arab Jamahiriya</w:t>
      </w:r>
      <w:r w:rsidRPr="00DC2CE0">
        <w:rPr>
          <w:lang w:eastAsia="en-US"/>
        </w:rPr>
        <w:t xml:space="preserve">, </w:t>
      </w:r>
      <w:r w:rsidRPr="00DC2CE0">
        <w:rPr>
          <w:bCs/>
          <w:lang w:eastAsia="en-US"/>
        </w:rPr>
        <w:t>Communication No. 1751/2008,</w:t>
      </w:r>
      <w:r w:rsidRPr="00DC2CE0">
        <w:rPr>
          <w:lang w:eastAsia="en-US"/>
        </w:rPr>
        <w:t xml:space="preserve"> views of 25 October 2010, § 7.5, </w:t>
      </w:r>
      <w:r w:rsidRPr="00DC2CE0">
        <w:rPr>
          <w:bCs/>
          <w:lang w:eastAsia="en-US"/>
        </w:rPr>
        <w:t>CCPR/C/100/D/1751/2008</w:t>
      </w:r>
      <w:r w:rsidRPr="00DC2CE0">
        <w:rPr>
          <w:lang w:eastAsia="en-US"/>
        </w:rPr>
        <w:t xml:space="preserve">). In the </w:t>
      </w:r>
      <w:proofErr w:type="spellStart"/>
      <w:r w:rsidRPr="00DC2CE0">
        <w:rPr>
          <w:i/>
          <w:lang w:eastAsia="en-US"/>
        </w:rPr>
        <w:t>Amirov</w:t>
      </w:r>
      <w:proofErr w:type="spellEnd"/>
      <w:r w:rsidRPr="00DC2CE0">
        <w:rPr>
          <w:i/>
          <w:lang w:eastAsia="en-US"/>
        </w:rPr>
        <w:t xml:space="preserve"> v. Russian Federation</w:t>
      </w:r>
      <w:r w:rsidRPr="00DC2CE0">
        <w:rPr>
          <w:lang w:eastAsia="en-US"/>
        </w:rPr>
        <w:t xml:space="preserve"> the Committee observed that “</w:t>
      </w:r>
      <w:r w:rsidRPr="00DC2CE0">
        <w:rPr>
          <w:lang w:eastAsia="en-US"/>
        </w:rPr>
        <w:sym w:font="Symbol" w:char="F05B"/>
      </w:r>
      <w:r w:rsidRPr="00DC2CE0">
        <w:rPr>
          <w:lang w:eastAsia="en-US"/>
        </w:rPr>
        <w:t>w</w:t>
      </w:r>
      <w:r w:rsidRPr="00DC2CE0">
        <w:rPr>
          <w:lang w:eastAsia="en-US"/>
        </w:rPr>
        <w:sym w:font="Symbol" w:char="F05D"/>
      </w:r>
      <w:proofErr w:type="spellStart"/>
      <w:r w:rsidRPr="00DC2CE0">
        <w:rPr>
          <w:lang w:eastAsia="en-US"/>
        </w:rPr>
        <w:t>ithout</w:t>
      </w:r>
      <w:proofErr w:type="spellEnd"/>
      <w:r w:rsidRPr="00DC2CE0">
        <w:rPr>
          <w:lang w:eastAsia="en-US"/>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DC2CE0">
        <w:rPr>
          <w:lang w:eastAsia="en-US"/>
        </w:rPr>
        <w:t>lead</w:t>
      </w:r>
      <w:proofErr w:type="spellEnd"/>
      <w:r w:rsidRPr="00DC2CE0">
        <w:rPr>
          <w:lang w:eastAsia="en-US"/>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w:t>
      </w:r>
      <w:r w:rsidR="0017780F" w:rsidRPr="00DC2CE0">
        <w:rPr>
          <w:lang w:eastAsia="en-US"/>
        </w:rPr>
        <w:t xml:space="preserve">HRC, </w:t>
      </w:r>
      <w:proofErr w:type="spellStart"/>
      <w:r w:rsidR="0017780F" w:rsidRPr="00DC2CE0">
        <w:rPr>
          <w:i/>
          <w:lang w:eastAsia="en-US"/>
        </w:rPr>
        <w:t>Abubakar</w:t>
      </w:r>
      <w:proofErr w:type="spellEnd"/>
      <w:r w:rsidR="0017780F" w:rsidRPr="00DC2CE0">
        <w:rPr>
          <w:i/>
          <w:lang w:eastAsia="en-US"/>
        </w:rPr>
        <w:t xml:space="preserve"> </w:t>
      </w:r>
      <w:proofErr w:type="spellStart"/>
      <w:r w:rsidR="0017780F" w:rsidRPr="00DC2CE0">
        <w:rPr>
          <w:i/>
          <w:lang w:eastAsia="en-US"/>
        </w:rPr>
        <w:t>Amirov</w:t>
      </w:r>
      <w:proofErr w:type="spellEnd"/>
      <w:r w:rsidR="0017780F" w:rsidRPr="00DC2CE0">
        <w:rPr>
          <w:i/>
          <w:lang w:eastAsia="en-US"/>
        </w:rPr>
        <w:t xml:space="preserve"> and </w:t>
      </w:r>
      <w:proofErr w:type="spellStart"/>
      <w:r w:rsidR="0017780F" w:rsidRPr="00DC2CE0">
        <w:rPr>
          <w:i/>
          <w:lang w:eastAsia="en-US"/>
        </w:rPr>
        <w:t>Aïzan</w:t>
      </w:r>
      <w:proofErr w:type="spellEnd"/>
      <w:r w:rsidR="0017780F" w:rsidRPr="00DC2CE0">
        <w:rPr>
          <w:i/>
          <w:lang w:eastAsia="en-US"/>
        </w:rPr>
        <w:t xml:space="preserve"> </w:t>
      </w:r>
      <w:proofErr w:type="spellStart"/>
      <w:r w:rsidR="0017780F" w:rsidRPr="00DC2CE0">
        <w:rPr>
          <w:i/>
          <w:lang w:eastAsia="en-US"/>
        </w:rPr>
        <w:t>Amirova</w:t>
      </w:r>
      <w:proofErr w:type="spellEnd"/>
      <w:r w:rsidR="0017780F" w:rsidRPr="00DC2CE0">
        <w:rPr>
          <w:i/>
          <w:lang w:eastAsia="en-US"/>
        </w:rPr>
        <w:t xml:space="preserve"> v. Russian Federation </w:t>
      </w:r>
      <w:r w:rsidR="0017780F" w:rsidRPr="00DC2CE0">
        <w:rPr>
          <w:lang w:eastAsia="en-US"/>
        </w:rPr>
        <w:t xml:space="preserve">cited in § </w:t>
      </w:r>
      <w:r w:rsidR="002C706F" w:rsidRPr="00DC2CE0">
        <w:rPr>
          <w:lang w:eastAsia="en-US"/>
        </w:rPr>
        <w:t>83</w:t>
      </w:r>
      <w:r w:rsidR="0017780F" w:rsidRPr="00DC2CE0">
        <w:rPr>
          <w:lang w:eastAsia="en-US"/>
        </w:rPr>
        <w:t xml:space="preserve"> above, at § 11.7</w:t>
      </w:r>
      <w:r w:rsidRPr="00DC2CE0">
        <w:rPr>
          <w:lang w:eastAsia="en-US"/>
        </w:rPr>
        <w:t>).</w:t>
      </w:r>
    </w:p>
    <w:p w:rsidR="007D7EC6" w:rsidRPr="00DC2CE0" w:rsidRDefault="007D7EC6" w:rsidP="007D7EC6">
      <w:pPr>
        <w:pStyle w:val="ListParagraph"/>
        <w:ind w:left="360"/>
        <w:jc w:val="both"/>
      </w:pPr>
    </w:p>
    <w:p w:rsidR="00482128" w:rsidRPr="00DC2CE0" w:rsidRDefault="007D7EC6" w:rsidP="00643DBA">
      <w:pPr>
        <w:numPr>
          <w:ilvl w:val="0"/>
          <w:numId w:val="15"/>
        </w:numPr>
        <w:tabs>
          <w:tab w:val="left" w:pos="567"/>
        </w:tabs>
        <w:suppressAutoHyphens/>
        <w:autoSpaceDE w:val="0"/>
        <w:jc w:val="both"/>
      </w:pPr>
      <w:r w:rsidRPr="00DC2CE0">
        <w:rPr>
          <w:lang w:eastAsia="en-US"/>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DC2CE0">
        <w:rPr>
          <w:lang w:eastAsia="en-US"/>
        </w:rPr>
        <w:t>ECtHR</w:t>
      </w:r>
      <w:proofErr w:type="spellEnd"/>
      <w:r w:rsidRPr="00DC2CE0">
        <w:rPr>
          <w:lang w:eastAsia="en-US"/>
        </w:rPr>
        <w:t xml:space="preserve">, </w:t>
      </w:r>
      <w:proofErr w:type="spellStart"/>
      <w:r w:rsidRPr="00DC2CE0">
        <w:rPr>
          <w:i/>
          <w:lang w:eastAsia="en-US"/>
        </w:rPr>
        <w:t>Janowiec</w:t>
      </w:r>
      <w:proofErr w:type="spellEnd"/>
      <w:r w:rsidRPr="00DC2CE0">
        <w:rPr>
          <w:i/>
          <w:lang w:eastAsia="en-US"/>
        </w:rPr>
        <w:t xml:space="preserve"> and Others v. Russia</w:t>
      </w:r>
      <w:r w:rsidRPr="00DC2CE0">
        <w:rPr>
          <w:lang w:eastAsia="en-US"/>
        </w:rPr>
        <w:t xml:space="preserve">, nos. 55508/07 and 29520/09, judgment of 16 April 2012, § 152). </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 xml:space="preserve">In this respect, it is the position of the European Court that findings under the procedural limb of Article 2 would also be of direct relevance in considering the existence of a violation of Article 3 (see </w:t>
      </w:r>
      <w:proofErr w:type="spellStart"/>
      <w:r w:rsidRPr="00DC2CE0">
        <w:rPr>
          <w:lang w:eastAsia="en-US"/>
        </w:rPr>
        <w:t>ECtHR</w:t>
      </w:r>
      <w:proofErr w:type="spellEnd"/>
      <w:r w:rsidRPr="00DC2CE0">
        <w:rPr>
          <w:lang w:eastAsia="en-US"/>
        </w:rPr>
        <w:t xml:space="preserve">, </w:t>
      </w:r>
      <w:proofErr w:type="spellStart"/>
      <w:r w:rsidRPr="00DC2CE0">
        <w:rPr>
          <w:i/>
          <w:lang w:eastAsia="en-US"/>
        </w:rPr>
        <w:t>Basayeva</w:t>
      </w:r>
      <w:proofErr w:type="spellEnd"/>
      <w:r w:rsidRPr="00DC2CE0">
        <w:rPr>
          <w:i/>
          <w:lang w:eastAsia="en-US"/>
        </w:rPr>
        <w:t xml:space="preserve"> and Others v. Russia</w:t>
      </w:r>
      <w:r w:rsidRPr="00DC2CE0">
        <w:rPr>
          <w:lang w:eastAsia="en-US"/>
        </w:rPr>
        <w:t xml:space="preserve">, nos. 15441/05 and 20731/04, judgment of 28 May 2009, § 109; </w:t>
      </w:r>
      <w:proofErr w:type="spellStart"/>
      <w:r w:rsidRPr="00DC2CE0">
        <w:rPr>
          <w:lang w:eastAsia="en-US"/>
        </w:rPr>
        <w:t>ECtHR</w:t>
      </w:r>
      <w:proofErr w:type="spellEnd"/>
      <w:r w:rsidRPr="00DC2CE0">
        <w:rPr>
          <w:lang w:eastAsia="en-US"/>
        </w:rPr>
        <w:t xml:space="preserve">, </w:t>
      </w:r>
      <w:proofErr w:type="spellStart"/>
      <w:r w:rsidRPr="00DC2CE0">
        <w:rPr>
          <w:i/>
          <w:lang w:eastAsia="en-US"/>
        </w:rPr>
        <w:t>Gelayevy</w:t>
      </w:r>
      <w:proofErr w:type="spellEnd"/>
      <w:r w:rsidRPr="00DC2CE0">
        <w:rPr>
          <w:i/>
          <w:lang w:eastAsia="en-US"/>
        </w:rPr>
        <w:t xml:space="preserve"> v. Russia</w:t>
      </w:r>
      <w:r w:rsidRPr="00DC2CE0">
        <w:rPr>
          <w:lang w:eastAsia="en-US"/>
        </w:rPr>
        <w:t>, no. 20216/07, judgment of 15 July 2010, § 147</w:t>
      </w:r>
      <w:r w:rsidR="002C706F" w:rsidRPr="00DC2CE0">
        <w:rPr>
          <w:lang w:eastAsia="en-US"/>
        </w:rPr>
        <w:t>)</w:t>
      </w:r>
      <w:r w:rsidRPr="00DC2CE0">
        <w:rPr>
          <w:lang w:eastAsia="en-US"/>
        </w:rPr>
        <w:t>.</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 xml:space="preserve">The Panel observes that the European Court has already found violations of Article 3 of the ECHR in relation to disappearances in which the State itself was found to be responsible for the abduction (see </w:t>
      </w:r>
      <w:proofErr w:type="spellStart"/>
      <w:r w:rsidRPr="00DC2CE0">
        <w:rPr>
          <w:lang w:eastAsia="en-US"/>
        </w:rPr>
        <w:t>ECtHR</w:t>
      </w:r>
      <w:proofErr w:type="spellEnd"/>
      <w:r w:rsidRPr="00DC2CE0">
        <w:rPr>
          <w:lang w:eastAsia="en-US"/>
        </w:rPr>
        <w:t xml:space="preserve">, </w:t>
      </w:r>
      <w:proofErr w:type="spellStart"/>
      <w:r w:rsidRPr="00DC2CE0">
        <w:rPr>
          <w:i/>
          <w:lang w:eastAsia="en-US"/>
        </w:rPr>
        <w:t>Luluyev</w:t>
      </w:r>
      <w:proofErr w:type="spellEnd"/>
      <w:r w:rsidRPr="00DC2CE0">
        <w:rPr>
          <w:i/>
          <w:lang w:eastAsia="en-US"/>
        </w:rPr>
        <w:t xml:space="preserve"> and Others v. Russia</w:t>
      </w:r>
      <w:r w:rsidRPr="00DC2CE0">
        <w:rPr>
          <w:lang w:eastAsia="en-US"/>
        </w:rPr>
        <w:t xml:space="preserve">, no. 69480/01, judgment of 9 November 2006, §§ 117-118; </w:t>
      </w:r>
      <w:proofErr w:type="spellStart"/>
      <w:r w:rsidRPr="00DC2CE0">
        <w:rPr>
          <w:lang w:eastAsia="en-US"/>
        </w:rPr>
        <w:t>ECtHR</w:t>
      </w:r>
      <w:proofErr w:type="spellEnd"/>
      <w:r w:rsidRPr="00DC2CE0">
        <w:rPr>
          <w:lang w:eastAsia="en-US"/>
        </w:rPr>
        <w:t xml:space="preserve">, </w:t>
      </w:r>
      <w:proofErr w:type="spellStart"/>
      <w:r w:rsidRPr="00DC2CE0">
        <w:rPr>
          <w:i/>
          <w:lang w:eastAsia="en-US"/>
        </w:rPr>
        <w:t>Kukayev</w:t>
      </w:r>
      <w:proofErr w:type="spellEnd"/>
      <w:r w:rsidRPr="00DC2CE0">
        <w:rPr>
          <w:i/>
          <w:lang w:eastAsia="en-US"/>
        </w:rPr>
        <w:t xml:space="preserve"> v. Russia</w:t>
      </w:r>
      <w:r w:rsidRPr="00DC2CE0">
        <w:rPr>
          <w:lang w:eastAsia="en-US"/>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The Panel is mindful that in the absence of a finding of State responsibility for the disappearance, the European Court has ruled that it is not persuaded that the authorities’ conduct, albeit negligent to the extent that it has breached Article 2 in its procedural aspect, could have in itself</w:t>
      </w:r>
      <w:r w:rsidRPr="00DC2CE0">
        <w:rPr>
          <w:b/>
          <w:lang w:eastAsia="en-US"/>
        </w:rPr>
        <w:t xml:space="preserve"> </w:t>
      </w:r>
      <w:r w:rsidRPr="00DC2CE0">
        <w:rPr>
          <w:lang w:eastAsia="en-US"/>
        </w:rPr>
        <w:t xml:space="preserve"> caused the applicant mental distress in excess of the minimum level of severity, which is necessary in order to consider treatment as falling within the scope of Article 3 (see, among others, </w:t>
      </w:r>
      <w:proofErr w:type="spellStart"/>
      <w:r w:rsidRPr="00DC2CE0">
        <w:rPr>
          <w:lang w:eastAsia="en-US"/>
        </w:rPr>
        <w:t>ECtHR</w:t>
      </w:r>
      <w:proofErr w:type="spellEnd"/>
      <w:r w:rsidRPr="00DC2CE0">
        <w:rPr>
          <w:lang w:eastAsia="en-US"/>
        </w:rPr>
        <w:t xml:space="preserve">, </w:t>
      </w:r>
      <w:proofErr w:type="spellStart"/>
      <w:r w:rsidRPr="00DC2CE0">
        <w:rPr>
          <w:i/>
          <w:lang w:eastAsia="en-US"/>
        </w:rPr>
        <w:t>Tovsultanova</w:t>
      </w:r>
      <w:proofErr w:type="spellEnd"/>
      <w:r w:rsidRPr="00DC2CE0">
        <w:rPr>
          <w:i/>
          <w:lang w:eastAsia="en-US"/>
        </w:rPr>
        <w:t xml:space="preserve"> v. Russia</w:t>
      </w:r>
      <w:r w:rsidRPr="00DC2CE0">
        <w:rPr>
          <w:lang w:eastAsia="en-US"/>
        </w:rPr>
        <w:t xml:space="preserve">, no. 26974/06, judgment of 17 June 2010, § 104; </w:t>
      </w:r>
      <w:proofErr w:type="spellStart"/>
      <w:r w:rsidRPr="00DC2CE0">
        <w:rPr>
          <w:lang w:eastAsia="en-US"/>
        </w:rPr>
        <w:t>ECtHR</w:t>
      </w:r>
      <w:proofErr w:type="spellEnd"/>
      <w:r w:rsidRPr="00DC2CE0">
        <w:rPr>
          <w:lang w:eastAsia="en-US"/>
        </w:rPr>
        <w:t xml:space="preserve">, </w:t>
      </w:r>
      <w:proofErr w:type="spellStart"/>
      <w:r w:rsidRPr="00DC2CE0">
        <w:rPr>
          <w:i/>
          <w:lang w:eastAsia="en-US"/>
        </w:rPr>
        <w:t>Shafiyeva</w:t>
      </w:r>
      <w:proofErr w:type="spellEnd"/>
      <w:r w:rsidRPr="00DC2CE0">
        <w:rPr>
          <w:i/>
          <w:lang w:eastAsia="en-US"/>
        </w:rPr>
        <w:t xml:space="preserve"> v. Russia</w:t>
      </w:r>
      <w:r w:rsidRPr="00DC2CE0">
        <w:rPr>
          <w:lang w:eastAsia="en-US"/>
        </w:rPr>
        <w:t>, no. 49379/09, judgment of 3 May 2012, § 103).</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rPr>
          <w:lang w:eastAsia="en-US"/>
        </w:rPr>
      </w:pPr>
      <w:r w:rsidRPr="00DC2CE0">
        <w:rPr>
          <w:lang w:eastAsia="en-US"/>
        </w:rPr>
        <w:t xml:space="preserve">Finally, with regard to the issue of burden of proof, the Panel refers to what it has said under Article 2 (see above, §§ </w:t>
      </w:r>
      <w:r w:rsidR="002C706F" w:rsidRPr="00DC2CE0">
        <w:rPr>
          <w:lang w:eastAsia="en-US"/>
        </w:rPr>
        <w:t>66</w:t>
      </w:r>
      <w:r w:rsidRPr="00DC2CE0">
        <w:rPr>
          <w:lang w:eastAsia="en-US"/>
        </w:rPr>
        <w:t>-</w:t>
      </w:r>
      <w:r w:rsidR="002C706F" w:rsidRPr="00DC2CE0">
        <w:rPr>
          <w:lang w:eastAsia="en-US"/>
        </w:rPr>
        <w:t>68</w:t>
      </w:r>
      <w:r w:rsidRPr="00DC2CE0">
        <w:rPr>
          <w:lang w:eastAsia="en-US"/>
        </w:rPr>
        <w:t>).</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Taking note of that position, the Panel considers that in this situation it may draw strong inferences from the available established facts relevant to the complaint</w:t>
      </w:r>
      <w:r w:rsidR="008568EF" w:rsidRPr="00DC2CE0">
        <w:rPr>
          <w:lang w:eastAsia="en-US"/>
        </w:rPr>
        <w:t>s</w:t>
      </w:r>
      <w:r w:rsidRPr="00DC2CE0">
        <w:rPr>
          <w:lang w:eastAsia="en-US"/>
        </w:rPr>
        <w:t xml:space="preserve"> before it.</w:t>
      </w:r>
    </w:p>
    <w:p w:rsidR="00482128" w:rsidRPr="00DC2CE0" w:rsidRDefault="00482128" w:rsidP="00482128">
      <w:pPr>
        <w:pStyle w:val="ListParagraph"/>
      </w:pPr>
    </w:p>
    <w:p w:rsidR="00482128" w:rsidRPr="00DC2CE0" w:rsidRDefault="00482128" w:rsidP="000008A0">
      <w:pPr>
        <w:pStyle w:val="ListParagraph"/>
        <w:numPr>
          <w:ilvl w:val="0"/>
          <w:numId w:val="10"/>
        </w:numPr>
        <w:jc w:val="both"/>
        <w:rPr>
          <w:i/>
        </w:rPr>
      </w:pPr>
      <w:r w:rsidRPr="00DC2CE0">
        <w:rPr>
          <w:i/>
        </w:rPr>
        <w:t>Applicability of Article 3 to the Kosovo context</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 xml:space="preserve">With regard to the applicability of the above standards to the Kosovo context, the Panel first refers to its view on the same issue with regard to Article 2, developed above (see §§ </w:t>
      </w:r>
      <w:r w:rsidR="002C706F" w:rsidRPr="00DC2CE0">
        <w:t>65</w:t>
      </w:r>
      <w:r w:rsidRPr="00DC2CE0">
        <w:rPr>
          <w:lang w:eastAsia="en-US"/>
        </w:rPr>
        <w:t>-</w:t>
      </w:r>
      <w:r w:rsidR="002C706F" w:rsidRPr="00DC2CE0">
        <w:t>76</w:t>
      </w:r>
      <w:r w:rsidRPr="00DC2CE0">
        <w:rPr>
          <w:lang w:eastAsia="en-US"/>
        </w:rPr>
        <w:t>).</w:t>
      </w:r>
    </w:p>
    <w:p w:rsidR="00482128" w:rsidRPr="00DC2CE0" w:rsidRDefault="00482128" w:rsidP="00482128">
      <w:pPr>
        <w:pStyle w:val="ListParagraph"/>
        <w:ind w:left="360"/>
        <w:jc w:val="both"/>
      </w:pPr>
    </w:p>
    <w:p w:rsidR="00482128" w:rsidRPr="00DC2CE0" w:rsidRDefault="007D7EC6" w:rsidP="00643DBA">
      <w:pPr>
        <w:numPr>
          <w:ilvl w:val="0"/>
          <w:numId w:val="15"/>
        </w:numPr>
        <w:tabs>
          <w:tab w:val="left" w:pos="567"/>
        </w:tabs>
        <w:suppressAutoHyphens/>
        <w:autoSpaceDE w:val="0"/>
        <w:jc w:val="both"/>
      </w:pPr>
      <w:r w:rsidRPr="00DC2CE0">
        <w:rPr>
          <w:lang w:eastAsia="en-US"/>
        </w:rPr>
        <w:t xml:space="preserve">The Panel reiterates that a normally functioning law enforcement system should take into account the protection needs of victims and witnesses, as well as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2C706F" w:rsidRPr="00DC2CE0">
        <w:rPr>
          <w:lang w:eastAsia="en-US"/>
        </w:rPr>
        <w:t>19</w:t>
      </w:r>
      <w:r w:rsidR="0073334B" w:rsidRPr="00DC2CE0">
        <w:rPr>
          <w:lang w:eastAsia="en-US"/>
        </w:rPr>
        <w:t xml:space="preserve"> </w:t>
      </w:r>
      <w:r w:rsidRPr="00DC2CE0">
        <w:rPr>
          <w:lang w:eastAsia="en-US"/>
        </w:rPr>
        <w:t>above).</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 xml:space="preserve">The Panel again notes that it will not review relevant practices or alleged obstacles to the conduct of effective investigations </w:t>
      </w:r>
      <w:r w:rsidRPr="00DC2CE0">
        <w:rPr>
          <w:i/>
          <w:lang w:eastAsia="en-US"/>
        </w:rPr>
        <w:t xml:space="preserve">in </w:t>
      </w:r>
      <w:proofErr w:type="spellStart"/>
      <w:r w:rsidRPr="00DC2CE0">
        <w:rPr>
          <w:i/>
          <w:lang w:eastAsia="en-US"/>
        </w:rPr>
        <w:t>abstracto</w:t>
      </w:r>
      <w:proofErr w:type="spellEnd"/>
      <w:r w:rsidRPr="00DC2CE0">
        <w:rPr>
          <w:lang w:eastAsia="en-US"/>
        </w:rPr>
        <w:t>, but only in relation to their specific application to the complaint</w:t>
      </w:r>
      <w:r w:rsidR="008568EF" w:rsidRPr="00DC2CE0">
        <w:rPr>
          <w:lang w:eastAsia="en-US"/>
        </w:rPr>
        <w:t>s</w:t>
      </w:r>
      <w:r w:rsidRPr="00DC2CE0">
        <w:rPr>
          <w:lang w:eastAsia="en-US"/>
        </w:rPr>
        <w:t xml:space="preserve"> before it, considering the particular circumstances of the case.</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482128" w:rsidRPr="00DC2CE0" w:rsidRDefault="00482128" w:rsidP="00482128">
      <w:pPr>
        <w:pStyle w:val="ListParagraph"/>
      </w:pPr>
    </w:p>
    <w:p w:rsidR="00482128" w:rsidRPr="00DC2CE0" w:rsidRDefault="00482128" w:rsidP="000008A0">
      <w:pPr>
        <w:pStyle w:val="ListParagraph"/>
        <w:numPr>
          <w:ilvl w:val="0"/>
          <w:numId w:val="10"/>
        </w:numPr>
        <w:jc w:val="both"/>
        <w:rPr>
          <w:i/>
        </w:rPr>
      </w:pPr>
      <w:r w:rsidRPr="00DC2CE0">
        <w:rPr>
          <w:i/>
        </w:rPr>
        <w:t>Compliance with Article 3 in the present case</w:t>
      </w:r>
    </w:p>
    <w:p w:rsidR="00482128" w:rsidRPr="00DC2CE0" w:rsidRDefault="00482128" w:rsidP="00482128">
      <w:pPr>
        <w:pStyle w:val="ListParagraph"/>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Against this background, the Panel discerns a number of factors in the present case which, taken together, raise the question of violation of Article 3 of the ECHR.</w:t>
      </w:r>
    </w:p>
    <w:p w:rsidR="00482128" w:rsidRPr="00DC2CE0" w:rsidRDefault="00482128" w:rsidP="00482128">
      <w:pPr>
        <w:pStyle w:val="ListParagraph"/>
        <w:ind w:left="360"/>
        <w:jc w:val="both"/>
      </w:pPr>
    </w:p>
    <w:p w:rsidR="00482128" w:rsidRPr="00DC2CE0" w:rsidRDefault="007D7EC6" w:rsidP="00482128">
      <w:pPr>
        <w:numPr>
          <w:ilvl w:val="0"/>
          <w:numId w:val="15"/>
        </w:numPr>
        <w:tabs>
          <w:tab w:val="left" w:pos="567"/>
        </w:tabs>
        <w:suppressAutoHyphens/>
        <w:autoSpaceDE w:val="0"/>
        <w:jc w:val="both"/>
        <w:rPr>
          <w:lang w:eastAsia="en-US"/>
        </w:rPr>
      </w:pPr>
      <w:r w:rsidRPr="00DC2CE0">
        <w:rPr>
          <w:lang w:eastAsia="en-US"/>
        </w:rPr>
        <w:t xml:space="preserve">The Panel notes the proximity of the family ties between the complainant and </w:t>
      </w:r>
      <w:r w:rsidR="008568EF" w:rsidRPr="00DC2CE0">
        <w:rPr>
          <w:lang w:eastAsia="en-US"/>
        </w:rPr>
        <w:t>the victim</w:t>
      </w:r>
      <w:r w:rsidR="00AC7181" w:rsidRPr="00DC2CE0">
        <w:rPr>
          <w:lang w:eastAsia="en-US"/>
        </w:rPr>
        <w:t>, t</w:t>
      </w:r>
      <w:r w:rsidR="008568EF" w:rsidRPr="00DC2CE0">
        <w:rPr>
          <w:lang w:eastAsia="en-US"/>
        </w:rPr>
        <w:t xml:space="preserve">he complainant </w:t>
      </w:r>
      <w:r w:rsidR="003A5926" w:rsidRPr="00DC2CE0">
        <w:rPr>
          <w:lang w:eastAsia="en-US"/>
        </w:rPr>
        <w:t xml:space="preserve">being the </w:t>
      </w:r>
      <w:r w:rsidR="008568EF" w:rsidRPr="00DC2CE0">
        <w:rPr>
          <w:lang w:eastAsia="en-US"/>
        </w:rPr>
        <w:t xml:space="preserve">wife of Mr </w:t>
      </w:r>
      <w:proofErr w:type="spellStart"/>
      <w:r w:rsidR="00586EAA" w:rsidRPr="00DC2CE0">
        <w:rPr>
          <w:lang w:eastAsia="en-US"/>
        </w:rPr>
        <w:t>Pavić</w:t>
      </w:r>
      <w:proofErr w:type="spellEnd"/>
      <w:r w:rsidR="00586EAA" w:rsidRPr="00DC2CE0">
        <w:rPr>
          <w:lang w:eastAsia="en-US"/>
        </w:rPr>
        <w:t>.</w:t>
      </w:r>
      <w:r w:rsidR="008568EF" w:rsidRPr="00DC2CE0">
        <w:rPr>
          <w:lang w:eastAsia="en-US"/>
        </w:rPr>
        <w:t xml:space="preserve"> </w:t>
      </w:r>
      <w:r w:rsidR="00B03A41" w:rsidRPr="00DC2CE0">
        <w:rPr>
          <w:lang w:eastAsia="en-US"/>
        </w:rPr>
        <w:t>Accordingly, the</w:t>
      </w:r>
      <w:r w:rsidR="00E578F1" w:rsidRPr="00DC2CE0">
        <w:rPr>
          <w:lang w:eastAsia="en-US"/>
        </w:rPr>
        <w:t xml:space="preserve"> Panel has</w:t>
      </w:r>
      <w:r w:rsidR="00F137A4" w:rsidRPr="00DC2CE0">
        <w:rPr>
          <w:lang w:eastAsia="en-US"/>
        </w:rPr>
        <w:t xml:space="preserve"> no doubt that the complainant</w:t>
      </w:r>
      <w:r w:rsidR="00E578F1" w:rsidRPr="00DC2CE0">
        <w:rPr>
          <w:lang w:eastAsia="en-US"/>
        </w:rPr>
        <w:t xml:space="preserve"> indeed</w:t>
      </w:r>
      <w:r w:rsidR="00B03A41" w:rsidRPr="00DC2CE0">
        <w:rPr>
          <w:lang w:eastAsia="en-US"/>
        </w:rPr>
        <w:t xml:space="preserve"> </w:t>
      </w:r>
      <w:r w:rsidR="00E578F1" w:rsidRPr="00DC2CE0">
        <w:rPr>
          <w:lang w:eastAsia="en-US"/>
        </w:rPr>
        <w:t xml:space="preserve">suffered serious emotional distress </w:t>
      </w:r>
      <w:r w:rsidR="00B03A41" w:rsidRPr="00DC2CE0">
        <w:rPr>
          <w:lang w:eastAsia="en-US"/>
        </w:rPr>
        <w:t xml:space="preserve">since </w:t>
      </w:r>
      <w:r w:rsidR="00586EAA" w:rsidRPr="00DC2CE0">
        <w:rPr>
          <w:lang w:eastAsia="en-US"/>
        </w:rPr>
        <w:t>her</w:t>
      </w:r>
      <w:r w:rsidR="00B03A41" w:rsidRPr="00DC2CE0">
        <w:rPr>
          <w:lang w:eastAsia="en-US"/>
        </w:rPr>
        <w:t xml:space="preserve"> husband</w:t>
      </w:r>
      <w:r w:rsidR="00AC7181" w:rsidRPr="00DC2CE0">
        <w:rPr>
          <w:lang w:eastAsia="en-US"/>
        </w:rPr>
        <w:t>’</w:t>
      </w:r>
      <w:r w:rsidR="00B03A41" w:rsidRPr="00DC2CE0">
        <w:rPr>
          <w:lang w:eastAsia="en-US"/>
        </w:rPr>
        <w:t>s abduction</w:t>
      </w:r>
      <w:r w:rsidR="00AC7181" w:rsidRPr="00DC2CE0">
        <w:rPr>
          <w:lang w:eastAsia="en-US"/>
        </w:rPr>
        <w:t>,</w:t>
      </w:r>
      <w:r w:rsidR="00B03A41" w:rsidRPr="00DC2CE0">
        <w:rPr>
          <w:lang w:eastAsia="en-US"/>
        </w:rPr>
        <w:t xml:space="preserve"> which took place in June</w:t>
      </w:r>
      <w:r w:rsidR="00E578F1" w:rsidRPr="00DC2CE0">
        <w:rPr>
          <w:lang w:eastAsia="en-US"/>
        </w:rPr>
        <w:t xml:space="preserve"> 1999. </w:t>
      </w:r>
      <w:r w:rsidR="00586EAA" w:rsidRPr="00DC2CE0">
        <w:rPr>
          <w:lang w:eastAsia="en-US"/>
        </w:rPr>
        <w:t>She</w:t>
      </w:r>
      <w:r w:rsidR="00B03A41" w:rsidRPr="00DC2CE0">
        <w:rPr>
          <w:lang w:eastAsia="en-US"/>
        </w:rPr>
        <w:t xml:space="preserve"> reported as soon as </w:t>
      </w:r>
      <w:r w:rsidR="00586EAA" w:rsidRPr="00DC2CE0">
        <w:rPr>
          <w:lang w:eastAsia="en-US"/>
        </w:rPr>
        <w:t>she</w:t>
      </w:r>
      <w:r w:rsidR="00B03A41" w:rsidRPr="00DC2CE0">
        <w:rPr>
          <w:lang w:eastAsia="en-US"/>
        </w:rPr>
        <w:t xml:space="preserve"> could</w:t>
      </w:r>
      <w:r w:rsidR="000360F1" w:rsidRPr="00DC2CE0">
        <w:rPr>
          <w:lang w:eastAsia="en-US"/>
        </w:rPr>
        <w:t xml:space="preserve"> the abduction</w:t>
      </w:r>
      <w:r w:rsidR="00AC7181" w:rsidRPr="00DC2CE0">
        <w:rPr>
          <w:lang w:eastAsia="en-US"/>
        </w:rPr>
        <w:t xml:space="preserve"> of her husband and other men </w:t>
      </w:r>
      <w:r w:rsidRPr="00DC2CE0">
        <w:rPr>
          <w:lang w:eastAsia="en-US"/>
        </w:rPr>
        <w:t xml:space="preserve">to the authorities and gave them all the information available to </w:t>
      </w:r>
      <w:r w:rsidR="00586EAA" w:rsidRPr="00DC2CE0">
        <w:rPr>
          <w:lang w:eastAsia="en-US"/>
        </w:rPr>
        <w:t>her</w:t>
      </w:r>
      <w:r w:rsidR="00DD1A11" w:rsidRPr="00DC2CE0">
        <w:rPr>
          <w:lang w:eastAsia="en-US"/>
        </w:rPr>
        <w:t>.</w:t>
      </w:r>
      <w:r w:rsidR="000360F1" w:rsidRPr="00DC2CE0">
        <w:rPr>
          <w:lang w:eastAsia="en-US"/>
        </w:rPr>
        <w:t xml:space="preserve"> </w:t>
      </w:r>
    </w:p>
    <w:p w:rsidR="00DD1A11" w:rsidRPr="00DC2CE0" w:rsidRDefault="00DD1A11" w:rsidP="00DD1A11">
      <w:pPr>
        <w:tabs>
          <w:tab w:val="left" w:pos="567"/>
        </w:tabs>
        <w:suppressAutoHyphens/>
        <w:autoSpaceDE w:val="0"/>
        <w:jc w:val="both"/>
        <w:rPr>
          <w:lang w:eastAsia="en-US"/>
        </w:rPr>
      </w:pPr>
    </w:p>
    <w:p w:rsidR="00965A3D" w:rsidRPr="00DC2CE0" w:rsidRDefault="007D7EC6" w:rsidP="00965A3D">
      <w:pPr>
        <w:numPr>
          <w:ilvl w:val="0"/>
          <w:numId w:val="15"/>
        </w:numPr>
        <w:tabs>
          <w:tab w:val="left" w:pos="567"/>
        </w:tabs>
        <w:suppressAutoHyphens/>
        <w:autoSpaceDE w:val="0"/>
        <w:jc w:val="both"/>
        <w:rPr>
          <w:lang w:eastAsia="en-US"/>
        </w:rPr>
      </w:pPr>
      <w:r w:rsidRPr="00DC2CE0">
        <w:rPr>
          <w:lang w:eastAsia="en-US"/>
        </w:rPr>
        <w:t xml:space="preserve">The Panel also notes that </w:t>
      </w:r>
      <w:r w:rsidR="00B03A41" w:rsidRPr="00DC2CE0">
        <w:rPr>
          <w:lang w:eastAsia="en-US"/>
        </w:rPr>
        <w:t>complainant</w:t>
      </w:r>
      <w:r w:rsidR="001136E0" w:rsidRPr="00DC2CE0">
        <w:rPr>
          <w:lang w:eastAsia="en-US"/>
        </w:rPr>
        <w:t xml:space="preserve"> </w:t>
      </w:r>
      <w:r w:rsidR="00586EAA" w:rsidRPr="00DC2CE0">
        <w:rPr>
          <w:lang w:eastAsia="en-US"/>
        </w:rPr>
        <w:t xml:space="preserve">accepts that she had been in contact with UNMIK Police during </w:t>
      </w:r>
      <w:r w:rsidR="002E21F5" w:rsidRPr="00DC2CE0">
        <w:rPr>
          <w:lang w:eastAsia="en-US"/>
        </w:rPr>
        <w:t xml:space="preserve">an </w:t>
      </w:r>
      <w:r w:rsidR="00586EAA" w:rsidRPr="00DC2CE0">
        <w:rPr>
          <w:lang w:eastAsia="en-US"/>
        </w:rPr>
        <w:t xml:space="preserve">undefined period of time initially following the </w:t>
      </w:r>
      <w:proofErr w:type="gramStart"/>
      <w:r w:rsidR="00586EAA" w:rsidRPr="00DC2CE0">
        <w:rPr>
          <w:lang w:eastAsia="en-US"/>
        </w:rPr>
        <w:t>report</w:t>
      </w:r>
      <w:r w:rsidR="00AC7181" w:rsidRPr="00DC2CE0">
        <w:rPr>
          <w:lang w:eastAsia="en-US"/>
        </w:rPr>
        <w:t>,</w:t>
      </w:r>
      <w:proofErr w:type="gramEnd"/>
      <w:r w:rsidR="00586EAA" w:rsidRPr="00DC2CE0">
        <w:rPr>
          <w:lang w:eastAsia="en-US"/>
        </w:rPr>
        <w:t xml:space="preserve"> however she describes being frustrated by the lack of any information </w:t>
      </w:r>
      <w:r w:rsidR="00DD1A11" w:rsidRPr="00DC2CE0">
        <w:rPr>
          <w:lang w:eastAsia="en-US"/>
        </w:rPr>
        <w:t>provided. Simply the account that</w:t>
      </w:r>
      <w:r w:rsidR="00586EAA" w:rsidRPr="00DC2CE0">
        <w:rPr>
          <w:lang w:eastAsia="en-US"/>
        </w:rPr>
        <w:t xml:space="preserve"> she gives are of officers bemoaning the fact that their mission cycle means that basic investigative steps needed to be repeated. No documents contained in the file appear to refute this version of events. Indeed</w:t>
      </w:r>
      <w:r w:rsidR="00AC7181" w:rsidRPr="00DC2CE0">
        <w:rPr>
          <w:lang w:eastAsia="en-US"/>
        </w:rPr>
        <w:t>,</w:t>
      </w:r>
      <w:r w:rsidR="00586EAA" w:rsidRPr="00DC2CE0">
        <w:rPr>
          <w:lang w:eastAsia="en-US"/>
        </w:rPr>
        <w:t xml:space="preserve"> the absence of a witness statement from the </w:t>
      </w:r>
      <w:r w:rsidR="00AC7181" w:rsidRPr="00DC2CE0">
        <w:rPr>
          <w:lang w:eastAsia="en-US"/>
        </w:rPr>
        <w:t>complainant</w:t>
      </w:r>
      <w:r w:rsidR="00586EAA" w:rsidRPr="00DC2CE0">
        <w:rPr>
          <w:lang w:eastAsia="en-US"/>
        </w:rPr>
        <w:t xml:space="preserve"> merely reinforces the view that little in terms of real information was ever provided to the complainant or her family.  </w:t>
      </w:r>
    </w:p>
    <w:p w:rsidR="00586EAA" w:rsidRPr="00DC2CE0" w:rsidRDefault="00586EAA" w:rsidP="00586EAA">
      <w:pPr>
        <w:pStyle w:val="ListParagraph"/>
        <w:rPr>
          <w:lang w:eastAsia="en-US"/>
        </w:rPr>
      </w:pPr>
    </w:p>
    <w:p w:rsidR="00965A3D" w:rsidRPr="00DC2CE0" w:rsidRDefault="00586EAA" w:rsidP="00643DBA">
      <w:pPr>
        <w:numPr>
          <w:ilvl w:val="0"/>
          <w:numId w:val="15"/>
        </w:numPr>
        <w:tabs>
          <w:tab w:val="left" w:pos="567"/>
        </w:tabs>
        <w:suppressAutoHyphens/>
        <w:autoSpaceDE w:val="0"/>
        <w:jc w:val="both"/>
        <w:rPr>
          <w:lang w:eastAsia="en-US"/>
        </w:rPr>
      </w:pPr>
      <w:r w:rsidRPr="00DC2CE0">
        <w:rPr>
          <w:lang w:eastAsia="en-US"/>
        </w:rPr>
        <w:t>The Panel also notes that after 2004 the complainant was never contacted by either UNMIK Police or prosecutors</w:t>
      </w:r>
      <w:r w:rsidR="00AC7181" w:rsidRPr="00DC2CE0">
        <w:rPr>
          <w:lang w:eastAsia="en-US"/>
        </w:rPr>
        <w:t>,</w:t>
      </w:r>
      <w:r w:rsidRPr="00DC2CE0">
        <w:rPr>
          <w:lang w:eastAsia="en-US"/>
        </w:rPr>
        <w:t xml:space="preserve"> that </w:t>
      </w:r>
      <w:r w:rsidR="00AC7181" w:rsidRPr="00DC2CE0">
        <w:rPr>
          <w:lang w:eastAsia="en-US"/>
        </w:rPr>
        <w:t xml:space="preserve">her </w:t>
      </w:r>
      <w:r w:rsidR="005459C4" w:rsidRPr="00DC2CE0">
        <w:rPr>
          <w:lang w:eastAsia="en-US"/>
        </w:rPr>
        <w:t>statement was never recorded and that she was never informed of the progress of the investigation.</w:t>
      </w:r>
      <w:r w:rsidRPr="00DC2CE0">
        <w:rPr>
          <w:lang w:eastAsia="en-US"/>
        </w:rPr>
        <w:t xml:space="preserve"> </w:t>
      </w:r>
      <w:r w:rsidR="00965A3D" w:rsidRPr="00DC2CE0">
        <w:rPr>
          <w:lang w:eastAsia="en-US"/>
        </w:rPr>
        <w:t xml:space="preserve">The Panel reiterates that from the standpoint of Article 3 it may examine UNMIK’s reactions and attitudes to the complainant in its entirety. </w:t>
      </w:r>
    </w:p>
    <w:p w:rsidR="00965A3D" w:rsidRPr="00DC2CE0" w:rsidRDefault="00965A3D" w:rsidP="00965A3D">
      <w:pPr>
        <w:pStyle w:val="ListParagraph"/>
        <w:rPr>
          <w:lang w:eastAsia="en-US"/>
        </w:rPr>
      </w:pPr>
    </w:p>
    <w:p w:rsidR="00965A3D" w:rsidRPr="00DC2CE0" w:rsidRDefault="00965A3D" w:rsidP="00643DBA">
      <w:pPr>
        <w:numPr>
          <w:ilvl w:val="0"/>
          <w:numId w:val="15"/>
        </w:numPr>
        <w:tabs>
          <w:tab w:val="left" w:pos="567"/>
        </w:tabs>
        <w:suppressAutoHyphens/>
        <w:autoSpaceDE w:val="0"/>
        <w:jc w:val="both"/>
        <w:rPr>
          <w:lang w:eastAsia="en-US"/>
        </w:rPr>
      </w:pPr>
      <w:r w:rsidRPr="00DC2CE0">
        <w:rPr>
          <w:lang w:eastAsia="en-US"/>
        </w:rPr>
        <w:t xml:space="preserve">Drawing inferences from UNMIK’s failure to submit the complete investigative documents (§ </w:t>
      </w:r>
      <w:r w:rsidR="002C706F" w:rsidRPr="00DC2CE0">
        <w:rPr>
          <w:lang w:eastAsia="en-US"/>
        </w:rPr>
        <w:t>62</w:t>
      </w:r>
      <w:r w:rsidRPr="00DC2CE0">
        <w:rPr>
          <w:lang w:eastAsia="en-US"/>
        </w:rPr>
        <w:t xml:space="preserve"> above) or to provide another plausible explanation for the absence </w:t>
      </w:r>
      <w:r w:rsidR="00663B20" w:rsidRPr="00DC2CE0">
        <w:rPr>
          <w:lang w:eastAsia="en-US"/>
        </w:rPr>
        <w:t>of contact with the complainant</w:t>
      </w:r>
      <w:r w:rsidRPr="00DC2CE0">
        <w:rPr>
          <w:lang w:eastAsia="en-US"/>
        </w:rPr>
        <w:t xml:space="preserve">, or information about the criminal investigation into the abduction of Mr </w:t>
      </w:r>
      <w:proofErr w:type="spellStart"/>
      <w:r w:rsidR="007E0476" w:rsidRPr="00DC2CE0">
        <w:rPr>
          <w:lang w:eastAsia="en-US"/>
        </w:rPr>
        <w:t>Pavić</w:t>
      </w:r>
      <w:proofErr w:type="spellEnd"/>
      <w:r w:rsidRPr="00DC2CE0">
        <w:rPr>
          <w:lang w:eastAsia="en-US"/>
        </w:rPr>
        <w:t xml:space="preserve">, the Panel considers that this situation, which continued into the period of the Panel’s temporal jurisdiction, caused grave uncertainty about the fate of the complainants’ husband and the status of the investigation. </w:t>
      </w:r>
    </w:p>
    <w:p w:rsidR="00965A3D" w:rsidRPr="00DC2CE0" w:rsidRDefault="00965A3D" w:rsidP="00965A3D">
      <w:pPr>
        <w:pStyle w:val="ListParagraph"/>
        <w:rPr>
          <w:highlight w:val="yellow"/>
          <w:lang w:eastAsia="en-US"/>
        </w:rPr>
      </w:pPr>
    </w:p>
    <w:p w:rsidR="00965A3D" w:rsidRPr="00DC2CE0" w:rsidRDefault="00965A3D" w:rsidP="00643DBA">
      <w:pPr>
        <w:numPr>
          <w:ilvl w:val="0"/>
          <w:numId w:val="15"/>
        </w:numPr>
        <w:tabs>
          <w:tab w:val="left" w:pos="567"/>
        </w:tabs>
        <w:suppressAutoHyphens/>
        <w:autoSpaceDE w:val="0"/>
        <w:jc w:val="both"/>
        <w:rPr>
          <w:lang w:eastAsia="en-US"/>
        </w:rPr>
      </w:pPr>
      <w:r w:rsidRPr="00DC2CE0">
        <w:rPr>
          <w:lang w:eastAsia="en-US"/>
        </w:rPr>
        <w:t>The Panel further note</w:t>
      </w:r>
      <w:r w:rsidR="00920984" w:rsidRPr="00DC2CE0">
        <w:rPr>
          <w:lang w:eastAsia="en-US"/>
        </w:rPr>
        <w:t xml:space="preserve">s that </w:t>
      </w:r>
      <w:r w:rsidR="007E0476" w:rsidRPr="00DC2CE0">
        <w:rPr>
          <w:lang w:eastAsia="en-US"/>
        </w:rPr>
        <w:t xml:space="preserve">Mr </w:t>
      </w:r>
      <w:proofErr w:type="spellStart"/>
      <w:r w:rsidR="007E0476" w:rsidRPr="00DC2CE0">
        <w:rPr>
          <w:lang w:eastAsia="en-US"/>
        </w:rPr>
        <w:t>Pavić</w:t>
      </w:r>
      <w:proofErr w:type="spellEnd"/>
      <w:r w:rsidR="007E0476" w:rsidRPr="00DC2CE0">
        <w:rPr>
          <w:lang w:eastAsia="en-US"/>
        </w:rPr>
        <w:t xml:space="preserve"> is </w:t>
      </w:r>
      <w:r w:rsidRPr="00DC2CE0">
        <w:rPr>
          <w:lang w:eastAsia="en-US"/>
        </w:rPr>
        <w:t xml:space="preserve">still missing. In view of the above, the Panel concludes that the complainant suffered severe distress and for a prolonged and continuing period of time on account of the way the authorities of UNMIK have dealt with </w:t>
      </w:r>
      <w:r w:rsidR="007E0476" w:rsidRPr="00DC2CE0">
        <w:rPr>
          <w:lang w:eastAsia="en-US"/>
        </w:rPr>
        <w:t>her complaint</w:t>
      </w:r>
      <w:r w:rsidRPr="00DC2CE0">
        <w:rPr>
          <w:lang w:eastAsia="en-US"/>
        </w:rPr>
        <w:t xml:space="preserve"> and as a result of their inability to find out what happened to </w:t>
      </w:r>
      <w:r w:rsidR="007E0476" w:rsidRPr="00DC2CE0">
        <w:rPr>
          <w:lang w:eastAsia="en-US"/>
        </w:rPr>
        <w:t>her</w:t>
      </w:r>
      <w:r w:rsidRPr="00DC2CE0">
        <w:rPr>
          <w:lang w:eastAsia="en-US"/>
        </w:rPr>
        <w:t xml:space="preserve"> husband. In this respect, it is obvious that, in any situation, the pain of a wife who has to live in uncertainty about the fate of her disappeared husband must be unbearable.</w:t>
      </w:r>
    </w:p>
    <w:p w:rsidR="00482128" w:rsidRPr="00DC2CE0" w:rsidRDefault="00482128" w:rsidP="00965A3D">
      <w:pPr>
        <w:rPr>
          <w:lang w:eastAsia="en-US"/>
        </w:rPr>
      </w:pPr>
    </w:p>
    <w:p w:rsidR="00482128" w:rsidRPr="00DC2CE0" w:rsidRDefault="007D7EC6" w:rsidP="00643DBA">
      <w:pPr>
        <w:numPr>
          <w:ilvl w:val="0"/>
          <w:numId w:val="15"/>
        </w:numPr>
        <w:tabs>
          <w:tab w:val="left" w:pos="567"/>
        </w:tabs>
        <w:suppressAutoHyphens/>
        <w:autoSpaceDE w:val="0"/>
        <w:jc w:val="both"/>
      </w:pPr>
      <w:r w:rsidRPr="00DC2CE0">
        <w:rPr>
          <w:lang w:eastAsia="en-US"/>
        </w:rPr>
        <w:t>For the aforementioned reasons, the Panel concludes that, by its behaviour, UNMIK</w:t>
      </w:r>
      <w:r w:rsidR="00965A3D" w:rsidRPr="00DC2CE0">
        <w:rPr>
          <w:lang w:eastAsia="en-US"/>
        </w:rPr>
        <w:t xml:space="preserve"> contributed to the complainant</w:t>
      </w:r>
      <w:r w:rsidRPr="00DC2CE0">
        <w:rPr>
          <w:lang w:eastAsia="en-US"/>
        </w:rPr>
        <w:t>s</w:t>
      </w:r>
      <w:r w:rsidR="00965A3D" w:rsidRPr="00DC2CE0">
        <w:rPr>
          <w:lang w:eastAsia="en-US"/>
        </w:rPr>
        <w:t>’</w:t>
      </w:r>
      <w:r w:rsidRPr="00DC2CE0">
        <w:rPr>
          <w:lang w:eastAsia="en-US"/>
        </w:rPr>
        <w:t xml:space="preserve"> distress and mental suffering in violation of Article 3 of the ECHR.</w:t>
      </w:r>
    </w:p>
    <w:p w:rsidR="00482128" w:rsidRPr="00DC2CE0" w:rsidRDefault="00482128" w:rsidP="00482128">
      <w:pPr>
        <w:pStyle w:val="ListParagraph"/>
        <w:rPr>
          <w:b/>
        </w:rPr>
      </w:pPr>
    </w:p>
    <w:p w:rsidR="005C125D" w:rsidRPr="00DC2CE0" w:rsidRDefault="005C125D" w:rsidP="00482128">
      <w:pPr>
        <w:pStyle w:val="ListParagraph"/>
        <w:rPr>
          <w:b/>
        </w:rPr>
      </w:pPr>
    </w:p>
    <w:p w:rsidR="00482128" w:rsidRPr="00DC2CE0" w:rsidRDefault="00482128" w:rsidP="00482128">
      <w:pPr>
        <w:jc w:val="both"/>
        <w:rPr>
          <w:b/>
        </w:rPr>
      </w:pPr>
      <w:r w:rsidRPr="00DC2CE0">
        <w:rPr>
          <w:b/>
        </w:rPr>
        <w:t>V. CONCLUDING COMMENTS AND RECOMMENDATIONS</w:t>
      </w:r>
    </w:p>
    <w:p w:rsidR="00482128" w:rsidRPr="00DC2CE0" w:rsidRDefault="00482128" w:rsidP="00482128">
      <w:pPr>
        <w:pStyle w:val="ListParagraph"/>
        <w:rPr>
          <w:lang w:eastAsia="en-US"/>
        </w:rPr>
      </w:pPr>
    </w:p>
    <w:p w:rsidR="00482128" w:rsidRPr="00DC2CE0" w:rsidRDefault="00482128" w:rsidP="00643DBA">
      <w:pPr>
        <w:numPr>
          <w:ilvl w:val="0"/>
          <w:numId w:val="15"/>
        </w:numPr>
        <w:tabs>
          <w:tab w:val="left" w:pos="567"/>
        </w:tabs>
        <w:suppressAutoHyphens/>
        <w:autoSpaceDE w:val="0"/>
        <w:jc w:val="both"/>
      </w:pPr>
      <w:r w:rsidRPr="00DC2CE0">
        <w:rPr>
          <w:lang w:eastAsia="en-US"/>
        </w:rPr>
        <w:t>In light of the Panel’s findings in this case, the Panel is of the opinion that some form of reparation is necessary.</w:t>
      </w:r>
    </w:p>
    <w:p w:rsidR="00482128" w:rsidRPr="00DC2CE0" w:rsidRDefault="00482128" w:rsidP="00482128">
      <w:pPr>
        <w:pStyle w:val="ListParagraph"/>
        <w:ind w:left="360"/>
        <w:jc w:val="both"/>
      </w:pPr>
    </w:p>
    <w:p w:rsidR="00482128" w:rsidRPr="00DC2CE0" w:rsidRDefault="00482128" w:rsidP="00643DBA">
      <w:pPr>
        <w:numPr>
          <w:ilvl w:val="0"/>
          <w:numId w:val="15"/>
        </w:numPr>
        <w:tabs>
          <w:tab w:val="left" w:pos="567"/>
        </w:tabs>
        <w:suppressAutoHyphens/>
        <w:autoSpaceDE w:val="0"/>
        <w:jc w:val="both"/>
      </w:pPr>
      <w:r w:rsidRPr="00DC2CE0">
        <w:rPr>
          <w:lang w:eastAsia="en-US"/>
        </w:rPr>
        <w:t>The Panel notes that enforced disappearances and arbitrary executions constitute serious violations of human rights which</w:t>
      </w:r>
      <w:r w:rsidR="00AC7181" w:rsidRPr="00DC2CE0">
        <w:rPr>
          <w:lang w:eastAsia="en-US"/>
        </w:rPr>
        <w:t>,</w:t>
      </w:r>
      <w:r w:rsidRPr="00DC2CE0">
        <w:rPr>
          <w:lang w:eastAsia="en-US"/>
        </w:rPr>
        <w:t xml:space="preserve"> shall be investigated and prosecuted under any circumstances. The Panel also notes that UNMIK as the territorial administration of Kosovo from 1999 to 2008 had the primary responsibility to effectively investigate and prosecute those responsible for </w:t>
      </w:r>
      <w:r w:rsidR="00AC7181" w:rsidRPr="00DC2CE0">
        <w:rPr>
          <w:lang w:eastAsia="en-US"/>
        </w:rPr>
        <w:t>killings,</w:t>
      </w:r>
      <w:r w:rsidRPr="00DC2CE0">
        <w:rPr>
          <w:lang w:eastAsia="en-US"/>
        </w:rPr>
        <w:t xml:space="preserve"> </w:t>
      </w:r>
      <w:r w:rsidR="00965A3D" w:rsidRPr="00DC2CE0">
        <w:rPr>
          <w:lang w:eastAsia="en-US"/>
        </w:rPr>
        <w:t>abduction</w:t>
      </w:r>
      <w:r w:rsidR="00AC7181" w:rsidRPr="00DC2CE0">
        <w:rPr>
          <w:lang w:eastAsia="en-US"/>
        </w:rPr>
        <w:t xml:space="preserve">s or </w:t>
      </w:r>
      <w:r w:rsidR="006E7EB0" w:rsidRPr="00DC2CE0">
        <w:rPr>
          <w:lang w:eastAsia="en-US"/>
        </w:rPr>
        <w:t>disappearances</w:t>
      </w:r>
      <w:r w:rsidR="00AC7181" w:rsidRPr="00DC2CE0">
        <w:rPr>
          <w:lang w:eastAsia="en-US"/>
        </w:rPr>
        <w:t xml:space="preserve"> in life threatening circumstances</w:t>
      </w:r>
      <w:r w:rsidR="006E7EB0" w:rsidRPr="00DC2CE0">
        <w:rPr>
          <w:lang w:eastAsia="en-US"/>
        </w:rPr>
        <w:t>. I</w:t>
      </w:r>
      <w:r w:rsidRPr="00DC2CE0">
        <w:rPr>
          <w:lang w:eastAsia="en-US"/>
        </w:rPr>
        <w:t>ts failure to do so constitutes a further serious violation of t</w:t>
      </w:r>
      <w:r w:rsidR="00DD1A11" w:rsidRPr="00DC2CE0">
        <w:rPr>
          <w:lang w:eastAsia="en-US"/>
        </w:rPr>
        <w:t xml:space="preserve">he rights of the victim and </w:t>
      </w:r>
      <w:r w:rsidR="00AC7181" w:rsidRPr="00DC2CE0">
        <w:rPr>
          <w:lang w:eastAsia="en-US"/>
        </w:rPr>
        <w:t>their</w:t>
      </w:r>
      <w:r w:rsidRPr="00DC2CE0">
        <w:rPr>
          <w:lang w:eastAsia="en-US"/>
        </w:rPr>
        <w:t xml:space="preserve"> next-of-kin, in particular the right to have the truth of the matter determined.</w:t>
      </w:r>
    </w:p>
    <w:p w:rsidR="00482128" w:rsidRPr="00DC2CE0" w:rsidRDefault="00482128" w:rsidP="00482128">
      <w:pPr>
        <w:pStyle w:val="ListParagraph"/>
        <w:rPr>
          <w:lang w:eastAsia="en-US"/>
        </w:rPr>
      </w:pPr>
    </w:p>
    <w:p w:rsidR="00482128" w:rsidRPr="00DC2CE0" w:rsidRDefault="00482128" w:rsidP="00643DBA">
      <w:pPr>
        <w:numPr>
          <w:ilvl w:val="0"/>
          <w:numId w:val="15"/>
        </w:numPr>
        <w:tabs>
          <w:tab w:val="left" w:pos="567"/>
        </w:tabs>
        <w:suppressAutoHyphens/>
        <w:autoSpaceDE w:val="0"/>
        <w:jc w:val="both"/>
      </w:pPr>
      <w:r w:rsidRPr="00DC2CE0">
        <w:rPr>
          <w:lang w:eastAsia="en-US"/>
        </w:rPr>
        <w:t>The Panel notes the SRSG’s own concerns that the inadequate resources, especially at the outset of UNMIK’s mission, made compliance with UNMIK’s human rights obligations difficult to achieve.</w:t>
      </w:r>
    </w:p>
    <w:p w:rsidR="00482128" w:rsidRPr="00DC2CE0" w:rsidRDefault="00482128" w:rsidP="00482128">
      <w:pPr>
        <w:pStyle w:val="ListParagraph"/>
      </w:pPr>
    </w:p>
    <w:p w:rsidR="00482128" w:rsidRPr="00DC2CE0" w:rsidRDefault="00482128" w:rsidP="00643DBA">
      <w:pPr>
        <w:numPr>
          <w:ilvl w:val="0"/>
          <w:numId w:val="15"/>
        </w:numPr>
        <w:tabs>
          <w:tab w:val="left" w:pos="567"/>
        </w:tabs>
        <w:suppressAutoHyphens/>
        <w:autoSpaceDE w:val="0"/>
        <w:jc w:val="both"/>
      </w:pPr>
      <w:r w:rsidRPr="00DC2CE0">
        <w:rPr>
          <w:lang w:eastAsia="en-US"/>
        </w:rPr>
        <w:t xml:space="preserve">It would normally be for UNMIK to take the appropriate measures in order to put an end to the violation noted and to redress as far as possible the effects thereof. However, as the Panel noted above (see § </w:t>
      </w:r>
      <w:r w:rsidR="002C706F" w:rsidRPr="00DC2CE0">
        <w:rPr>
          <w:lang w:eastAsia="en-US"/>
        </w:rPr>
        <w:t>21</w:t>
      </w:r>
      <w:r w:rsidRPr="00DC2CE0">
        <w:rPr>
          <w:lang w:eastAsia="en-US"/>
        </w:rPr>
        <w:t>),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482128" w:rsidRPr="00DC2CE0" w:rsidRDefault="00482128" w:rsidP="00482128">
      <w:pPr>
        <w:pStyle w:val="ListParagraph"/>
        <w:rPr>
          <w:lang w:eastAsia="en-US"/>
        </w:rPr>
      </w:pPr>
    </w:p>
    <w:p w:rsidR="00482128" w:rsidRPr="00DC2CE0" w:rsidRDefault="00482128" w:rsidP="00643DBA">
      <w:pPr>
        <w:numPr>
          <w:ilvl w:val="0"/>
          <w:numId w:val="15"/>
        </w:numPr>
        <w:tabs>
          <w:tab w:val="left" w:pos="567"/>
        </w:tabs>
        <w:suppressAutoHyphens/>
        <w:autoSpaceDE w:val="0"/>
        <w:jc w:val="both"/>
      </w:pPr>
      <w:r w:rsidRPr="00DC2CE0">
        <w:rPr>
          <w:lang w:eastAsia="en-US"/>
        </w:rPr>
        <w:t>The Panel considers that this factual situation does not relieve UNMIK from its obligation to redress as far as possible the effects of the violations for which it is responsible.</w:t>
      </w:r>
    </w:p>
    <w:p w:rsidR="00482128" w:rsidRPr="00DC2CE0" w:rsidRDefault="00482128" w:rsidP="00482128">
      <w:pPr>
        <w:suppressAutoHyphens/>
        <w:autoSpaceDE w:val="0"/>
        <w:jc w:val="both"/>
        <w:rPr>
          <w:lang w:eastAsia="en-US"/>
        </w:rPr>
      </w:pPr>
    </w:p>
    <w:p w:rsidR="00482128" w:rsidRPr="00DC2CE0" w:rsidRDefault="00482128" w:rsidP="005C125D">
      <w:pPr>
        <w:suppressAutoHyphens/>
        <w:autoSpaceDE w:val="0"/>
        <w:ind w:left="142"/>
        <w:jc w:val="both"/>
        <w:rPr>
          <w:b/>
          <w:lang w:eastAsia="en-US"/>
        </w:rPr>
      </w:pPr>
      <w:r w:rsidRPr="00DC2CE0">
        <w:rPr>
          <w:b/>
          <w:lang w:eastAsia="en-US"/>
        </w:rPr>
        <w:t>With respect to the complainant and the case the Panel considers it appropriate that UNMIK:</w:t>
      </w:r>
    </w:p>
    <w:p w:rsidR="00482128" w:rsidRPr="00DC2CE0" w:rsidRDefault="00482128" w:rsidP="005C125D">
      <w:pPr>
        <w:suppressAutoHyphens/>
        <w:autoSpaceDE w:val="0"/>
        <w:ind w:left="426"/>
        <w:jc w:val="both"/>
        <w:rPr>
          <w:lang w:eastAsia="en-US"/>
        </w:rPr>
      </w:pPr>
    </w:p>
    <w:p w:rsidR="00482128" w:rsidRPr="00DC2CE0" w:rsidRDefault="00482128" w:rsidP="00080B6F">
      <w:pPr>
        <w:pStyle w:val="ListParagraph"/>
        <w:numPr>
          <w:ilvl w:val="2"/>
          <w:numId w:val="2"/>
        </w:numPr>
        <w:suppressAutoHyphens/>
        <w:autoSpaceDE w:val="0"/>
        <w:ind w:left="426" w:firstLine="0"/>
        <w:contextualSpacing w:val="0"/>
        <w:jc w:val="both"/>
        <w:rPr>
          <w:lang w:eastAsia="ar-SA"/>
        </w:rPr>
      </w:pPr>
      <w:r w:rsidRPr="00DC2CE0">
        <w:rPr>
          <w:lang w:eastAsia="ar-SA"/>
        </w:rPr>
        <w:t>In line with the case law of the European Court of Human Rights on situations of limite</w:t>
      </w:r>
      <w:r w:rsidR="00965A3D" w:rsidRPr="00DC2CE0">
        <w:rPr>
          <w:lang w:eastAsia="ar-SA"/>
        </w:rPr>
        <w:t xml:space="preserve">d State jurisdiction (see </w:t>
      </w:r>
      <w:proofErr w:type="spellStart"/>
      <w:r w:rsidR="00965A3D" w:rsidRPr="00DC2CE0">
        <w:rPr>
          <w:lang w:eastAsia="ar-SA"/>
        </w:rPr>
        <w:t>ECtHR</w:t>
      </w:r>
      <w:proofErr w:type="spellEnd"/>
      <w:r w:rsidR="00965A3D" w:rsidRPr="00DC2CE0">
        <w:rPr>
          <w:lang w:eastAsia="ar-SA"/>
        </w:rPr>
        <w:t xml:space="preserve"> [GC]</w:t>
      </w:r>
      <w:r w:rsidRPr="00DC2CE0">
        <w:rPr>
          <w:lang w:eastAsia="ar-SA"/>
        </w:rPr>
        <w:t xml:space="preserve">, </w:t>
      </w:r>
      <w:proofErr w:type="spellStart"/>
      <w:r w:rsidRPr="00080B6F">
        <w:rPr>
          <w:lang w:eastAsia="ar-SA"/>
        </w:rPr>
        <w:t>Ilaşcu</w:t>
      </w:r>
      <w:proofErr w:type="spellEnd"/>
      <w:r w:rsidRPr="00080B6F">
        <w:rPr>
          <w:lang w:eastAsia="ar-SA"/>
        </w:rPr>
        <w:t xml:space="preserve"> and Others v.</w:t>
      </w:r>
      <w:r w:rsidRPr="00DC2CE0">
        <w:rPr>
          <w:lang w:eastAsia="ar-SA"/>
        </w:rPr>
        <w:t xml:space="preserve"> </w:t>
      </w:r>
      <w:r w:rsidRPr="00080B6F">
        <w:rPr>
          <w:lang w:eastAsia="ar-SA"/>
        </w:rPr>
        <w:t>Moldova and Russia</w:t>
      </w:r>
      <w:r w:rsidRPr="00DC2CE0">
        <w:rPr>
          <w:lang w:eastAsia="ar-SA"/>
        </w:rPr>
        <w:t xml:space="preserve">, </w:t>
      </w:r>
      <w:r w:rsidR="00920984" w:rsidRPr="00DC2CE0">
        <w:rPr>
          <w:lang w:eastAsia="ar-SA"/>
        </w:rPr>
        <w:t xml:space="preserve">cited in § </w:t>
      </w:r>
      <w:r w:rsidR="002C706F" w:rsidRPr="00DC2CE0">
        <w:rPr>
          <w:lang w:eastAsia="ar-SA"/>
        </w:rPr>
        <w:t>106</w:t>
      </w:r>
      <w:r w:rsidR="00920984" w:rsidRPr="00DC2CE0">
        <w:rPr>
          <w:lang w:eastAsia="ar-SA"/>
        </w:rPr>
        <w:t xml:space="preserve"> above, at</w:t>
      </w:r>
      <w:r w:rsidRPr="00DC2CE0">
        <w:rPr>
          <w:lang w:eastAsia="ar-SA"/>
        </w:rPr>
        <w:t xml:space="preserve"> § 333; </w:t>
      </w:r>
      <w:proofErr w:type="spellStart"/>
      <w:r w:rsidRPr="00080B6F">
        <w:rPr>
          <w:lang w:eastAsia="ar-SA"/>
        </w:rPr>
        <w:t>ECtHR</w:t>
      </w:r>
      <w:proofErr w:type="spellEnd"/>
      <w:r w:rsidRPr="00080B6F">
        <w:rPr>
          <w:lang w:eastAsia="ar-SA"/>
        </w:rPr>
        <w:t>, Al-</w:t>
      </w:r>
      <w:proofErr w:type="spellStart"/>
      <w:r w:rsidRPr="00080B6F">
        <w:rPr>
          <w:lang w:eastAsia="ar-SA"/>
        </w:rPr>
        <w:t>Saadoon</w:t>
      </w:r>
      <w:proofErr w:type="spellEnd"/>
      <w:r w:rsidRPr="00080B6F">
        <w:rPr>
          <w:lang w:eastAsia="ar-SA"/>
        </w:rPr>
        <w:t xml:space="preserve"> and </w:t>
      </w:r>
      <w:proofErr w:type="spellStart"/>
      <w:r w:rsidRPr="00080B6F">
        <w:rPr>
          <w:lang w:eastAsia="ar-SA"/>
        </w:rPr>
        <w:t>Mufdhi</w:t>
      </w:r>
      <w:proofErr w:type="spellEnd"/>
      <w:r w:rsidRPr="00080B6F">
        <w:rPr>
          <w:lang w:eastAsia="ar-SA"/>
        </w:rPr>
        <w:t xml:space="preserve"> v. United Kingdom</w:t>
      </w:r>
      <w:r w:rsidRPr="00DC2CE0">
        <w:rPr>
          <w:lang w:eastAsia="ar-SA"/>
        </w:rPr>
        <w:t>, no. 61498/08, judgment</w:t>
      </w:r>
      <w:r w:rsidR="00965A3D" w:rsidRPr="00DC2CE0">
        <w:rPr>
          <w:lang w:eastAsia="ar-SA"/>
        </w:rPr>
        <w:t xml:space="preserve"> of 2 March 2010, § 171; </w:t>
      </w:r>
      <w:proofErr w:type="spellStart"/>
      <w:r w:rsidR="00965A3D" w:rsidRPr="00DC2CE0">
        <w:rPr>
          <w:lang w:eastAsia="ar-SA"/>
        </w:rPr>
        <w:t>ECtHR</w:t>
      </w:r>
      <w:proofErr w:type="spellEnd"/>
      <w:r w:rsidR="00965A3D" w:rsidRPr="00DC2CE0">
        <w:rPr>
          <w:lang w:eastAsia="ar-SA"/>
        </w:rPr>
        <w:t xml:space="preserve"> [GC]</w:t>
      </w:r>
      <w:r w:rsidRPr="00DC2CE0">
        <w:rPr>
          <w:lang w:eastAsia="ar-SA"/>
        </w:rPr>
        <w:t xml:space="preserve">, </w:t>
      </w:r>
      <w:proofErr w:type="spellStart"/>
      <w:r w:rsidRPr="00080B6F">
        <w:rPr>
          <w:lang w:eastAsia="ar-SA"/>
        </w:rPr>
        <w:t>Catan</w:t>
      </w:r>
      <w:proofErr w:type="spellEnd"/>
      <w:r w:rsidRPr="00080B6F">
        <w:rPr>
          <w:lang w:eastAsia="ar-SA"/>
        </w:rPr>
        <w:t xml:space="preserve"> and Others v. Moldova and Russia</w:t>
      </w:r>
      <w:r w:rsidRPr="00DC2CE0">
        <w:rPr>
          <w:lang w:eastAsia="ar-SA"/>
        </w:rPr>
        <w:t xml:space="preserve">, nos. 43370/04, 8252/05 and 18454/06, judgment of 19 October 2012, § 109), must endeavour, with all the diplomatic means available to it </w:t>
      </w:r>
      <w:r w:rsidRPr="00080B6F">
        <w:rPr>
          <w:lang w:eastAsia="ar-SA"/>
        </w:rPr>
        <w:t xml:space="preserve">vis-à-vis </w:t>
      </w:r>
      <w:r w:rsidRPr="00DC2CE0">
        <w:rPr>
          <w:lang w:eastAsia="ar-SA"/>
        </w:rPr>
        <w:t xml:space="preserve">EULEX and the Kosovo authorities, to obtain assurances that the investigations concerning the case at issue will be continued in compliance with the requirements of an effective investigation as envisaged by Article 2, that the circumstances surrounding the </w:t>
      </w:r>
      <w:r w:rsidR="00965A3D" w:rsidRPr="00DC2CE0">
        <w:rPr>
          <w:lang w:eastAsia="ar-SA"/>
        </w:rPr>
        <w:t xml:space="preserve">abduction </w:t>
      </w:r>
      <w:r w:rsidRPr="00DC2CE0">
        <w:rPr>
          <w:lang w:eastAsia="ar-SA"/>
        </w:rPr>
        <w:t xml:space="preserve">of </w:t>
      </w:r>
      <w:r w:rsidR="007E0476" w:rsidRPr="00DC2CE0">
        <w:rPr>
          <w:lang w:eastAsia="ar-SA"/>
        </w:rPr>
        <w:t xml:space="preserve">Mr </w:t>
      </w:r>
      <w:proofErr w:type="spellStart"/>
      <w:r w:rsidR="007E0476" w:rsidRPr="00DC2CE0">
        <w:rPr>
          <w:lang w:eastAsia="ar-SA"/>
        </w:rPr>
        <w:t>Pavić</w:t>
      </w:r>
      <w:proofErr w:type="spellEnd"/>
      <w:r w:rsidR="007E0476" w:rsidRPr="00DC2CE0">
        <w:rPr>
          <w:lang w:eastAsia="ar-SA"/>
        </w:rPr>
        <w:t xml:space="preserve"> </w:t>
      </w:r>
      <w:r w:rsidRPr="00DC2CE0">
        <w:rPr>
          <w:lang w:eastAsia="ar-SA"/>
        </w:rPr>
        <w:t>will be established and that perpetrators will be brought to justice. The complainant and/or other next-of-kin shall be informed of such proceedings and relevant documents shall be disclosed to them, as necessary;</w:t>
      </w:r>
    </w:p>
    <w:p w:rsidR="00482128" w:rsidRPr="00DC2CE0" w:rsidRDefault="00482128" w:rsidP="005C125D">
      <w:pPr>
        <w:suppressAutoHyphens/>
        <w:autoSpaceDE w:val="0"/>
        <w:ind w:left="426"/>
        <w:jc w:val="both"/>
        <w:rPr>
          <w:lang w:eastAsia="en-US"/>
        </w:rPr>
      </w:pPr>
    </w:p>
    <w:p w:rsidR="00482128" w:rsidRPr="00DC2CE0" w:rsidRDefault="00482128" w:rsidP="00080B6F">
      <w:pPr>
        <w:pStyle w:val="ListParagraph"/>
        <w:numPr>
          <w:ilvl w:val="2"/>
          <w:numId w:val="2"/>
        </w:numPr>
        <w:suppressAutoHyphens/>
        <w:autoSpaceDE w:val="0"/>
        <w:ind w:left="426" w:firstLine="0"/>
        <w:contextualSpacing w:val="0"/>
        <w:jc w:val="both"/>
        <w:rPr>
          <w:lang w:eastAsia="ar-SA"/>
        </w:rPr>
      </w:pPr>
      <w:r w:rsidRPr="00DC2CE0">
        <w:rPr>
          <w:lang w:eastAsia="ar-SA"/>
        </w:rPr>
        <w:t xml:space="preserve">Publicly acknowledges, within a reasonable time, responsibility with respect to UNMIK’s failure to adequately investigate the </w:t>
      </w:r>
      <w:r w:rsidR="00965A3D" w:rsidRPr="00DC2CE0">
        <w:rPr>
          <w:lang w:eastAsia="ar-SA"/>
        </w:rPr>
        <w:t xml:space="preserve">abduction </w:t>
      </w:r>
      <w:r w:rsidR="00CA145A" w:rsidRPr="00DC2CE0">
        <w:rPr>
          <w:lang w:eastAsia="ar-SA"/>
        </w:rPr>
        <w:t xml:space="preserve">of </w:t>
      </w:r>
      <w:r w:rsidR="007E0476" w:rsidRPr="00DC2CE0">
        <w:rPr>
          <w:lang w:eastAsia="ar-SA"/>
        </w:rPr>
        <w:t xml:space="preserve">Mr </w:t>
      </w:r>
      <w:proofErr w:type="spellStart"/>
      <w:r w:rsidR="007E0476" w:rsidRPr="00DC2CE0">
        <w:rPr>
          <w:lang w:eastAsia="ar-SA"/>
        </w:rPr>
        <w:t>Pavić</w:t>
      </w:r>
      <w:proofErr w:type="spellEnd"/>
      <w:r w:rsidRPr="00DC2CE0">
        <w:rPr>
          <w:lang w:eastAsia="ar-SA"/>
        </w:rPr>
        <w:t>, as well as the distress and mental suffering subsequently incurred, and makes a public apology to the complainant</w:t>
      </w:r>
      <w:r w:rsidR="00965A3D" w:rsidRPr="00DC2CE0">
        <w:rPr>
          <w:lang w:eastAsia="ar-SA"/>
        </w:rPr>
        <w:t xml:space="preserve"> and </w:t>
      </w:r>
      <w:r w:rsidR="007E0476" w:rsidRPr="00DC2CE0">
        <w:rPr>
          <w:lang w:eastAsia="ar-SA"/>
        </w:rPr>
        <w:t>her</w:t>
      </w:r>
      <w:r w:rsidRPr="00DC2CE0">
        <w:rPr>
          <w:lang w:eastAsia="ar-SA"/>
        </w:rPr>
        <w:t xml:space="preserve"> family in this regard;</w:t>
      </w:r>
    </w:p>
    <w:p w:rsidR="00482128" w:rsidRPr="00DC2CE0" w:rsidRDefault="00482128" w:rsidP="005C125D">
      <w:pPr>
        <w:suppressAutoHyphens/>
        <w:autoSpaceDE w:val="0"/>
        <w:ind w:left="426"/>
        <w:jc w:val="both"/>
        <w:rPr>
          <w:lang w:eastAsia="en-US"/>
        </w:rPr>
      </w:pPr>
    </w:p>
    <w:p w:rsidR="00482128" w:rsidRPr="00DC2CE0" w:rsidRDefault="00482128" w:rsidP="00080B6F">
      <w:pPr>
        <w:pStyle w:val="ListParagraph"/>
        <w:numPr>
          <w:ilvl w:val="2"/>
          <w:numId w:val="2"/>
        </w:numPr>
        <w:suppressAutoHyphens/>
        <w:autoSpaceDE w:val="0"/>
        <w:ind w:left="426" w:firstLine="0"/>
        <w:contextualSpacing w:val="0"/>
        <w:jc w:val="both"/>
        <w:rPr>
          <w:lang w:eastAsia="en-US"/>
        </w:rPr>
      </w:pPr>
      <w:r w:rsidRPr="00DC2CE0">
        <w:rPr>
          <w:lang w:eastAsia="ar-SA"/>
        </w:rPr>
        <w:t>Takes</w:t>
      </w:r>
      <w:r w:rsidRPr="00DC2CE0">
        <w:rPr>
          <w:lang w:eastAsia="en-US"/>
        </w:rPr>
        <w:t xml:space="preserve"> appropriate steps towards payment of adequate compensation to the complainant for the moral damage suffered due to UNMIK’s failure to conduct an effective investigation, as well as for distress and mental suffering incurred by the complainant as a consequence of UNMIK’s </w:t>
      </w:r>
      <w:proofErr w:type="spellStart"/>
      <w:r w:rsidRPr="00DC2CE0">
        <w:rPr>
          <w:lang w:eastAsia="en-US"/>
        </w:rPr>
        <w:t>behavior</w:t>
      </w:r>
      <w:proofErr w:type="spellEnd"/>
      <w:r w:rsidRPr="00DC2CE0">
        <w:rPr>
          <w:lang w:eastAsia="en-US"/>
        </w:rPr>
        <w:t>.</w:t>
      </w:r>
    </w:p>
    <w:p w:rsidR="00482128" w:rsidRPr="00DC2CE0" w:rsidRDefault="00482128" w:rsidP="00482128">
      <w:pPr>
        <w:suppressAutoHyphens/>
        <w:autoSpaceDE w:val="0"/>
        <w:jc w:val="both"/>
        <w:rPr>
          <w:b/>
          <w:lang w:eastAsia="en-US"/>
        </w:rPr>
      </w:pPr>
    </w:p>
    <w:p w:rsidR="00482128" w:rsidRPr="00DC2CE0" w:rsidRDefault="00482128" w:rsidP="005C125D">
      <w:pPr>
        <w:suppressAutoHyphens/>
        <w:autoSpaceDE w:val="0"/>
        <w:ind w:left="142"/>
        <w:jc w:val="both"/>
        <w:rPr>
          <w:b/>
          <w:lang w:eastAsia="en-US"/>
        </w:rPr>
      </w:pPr>
      <w:r w:rsidRPr="00DC2CE0">
        <w:rPr>
          <w:b/>
          <w:lang w:eastAsia="en-US"/>
        </w:rPr>
        <w:t>The Panel also considers it appropriate that UNMIK:</w:t>
      </w:r>
    </w:p>
    <w:p w:rsidR="00482128" w:rsidRPr="00DC2CE0" w:rsidRDefault="00482128" w:rsidP="005C125D">
      <w:pPr>
        <w:suppressAutoHyphens/>
        <w:autoSpaceDE w:val="0"/>
        <w:ind w:left="426"/>
        <w:jc w:val="both"/>
        <w:rPr>
          <w:b/>
          <w:lang w:eastAsia="en-US"/>
        </w:rPr>
      </w:pPr>
    </w:p>
    <w:p w:rsidR="00482128" w:rsidRPr="00DC2CE0" w:rsidRDefault="00482128" w:rsidP="00080B6F">
      <w:pPr>
        <w:pStyle w:val="ListParagraph"/>
        <w:numPr>
          <w:ilvl w:val="2"/>
          <w:numId w:val="2"/>
        </w:numPr>
        <w:suppressAutoHyphens/>
        <w:autoSpaceDE w:val="0"/>
        <w:ind w:left="426" w:firstLine="0"/>
        <w:contextualSpacing w:val="0"/>
        <w:jc w:val="both"/>
        <w:rPr>
          <w:lang w:eastAsia="en-US"/>
        </w:rPr>
      </w:pPr>
      <w:r w:rsidRPr="00DC2CE0">
        <w:rPr>
          <w:lang w:eastAsia="en-US"/>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482128" w:rsidRPr="00DC2CE0" w:rsidRDefault="00482128" w:rsidP="005C125D">
      <w:pPr>
        <w:suppressAutoHyphens/>
        <w:autoSpaceDE w:val="0"/>
        <w:ind w:left="426"/>
        <w:jc w:val="both"/>
        <w:rPr>
          <w:lang w:eastAsia="en-US"/>
        </w:rPr>
      </w:pPr>
    </w:p>
    <w:p w:rsidR="00482128" w:rsidRPr="00DC2CE0" w:rsidRDefault="00482128" w:rsidP="00080B6F">
      <w:pPr>
        <w:pStyle w:val="ListParagraph"/>
        <w:numPr>
          <w:ilvl w:val="2"/>
          <w:numId w:val="2"/>
        </w:numPr>
        <w:suppressAutoHyphens/>
        <w:autoSpaceDE w:val="0"/>
        <w:ind w:left="426" w:firstLine="0"/>
        <w:contextualSpacing w:val="0"/>
        <w:jc w:val="both"/>
        <w:rPr>
          <w:lang w:eastAsia="en-US"/>
        </w:rPr>
      </w:pPr>
      <w:r w:rsidRPr="00DC2CE0">
        <w:rPr>
          <w:lang w:eastAsia="en-US"/>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482128" w:rsidRPr="00DC2CE0" w:rsidRDefault="00482128" w:rsidP="00482128">
      <w:pPr>
        <w:suppressAutoHyphens/>
        <w:autoSpaceDE w:val="0"/>
        <w:jc w:val="both"/>
        <w:rPr>
          <w:lang w:eastAsia="en-US"/>
        </w:rPr>
      </w:pPr>
    </w:p>
    <w:p w:rsidR="004378E3" w:rsidRPr="00DC2CE0" w:rsidRDefault="004378E3" w:rsidP="00482128">
      <w:pPr>
        <w:suppressAutoHyphens/>
        <w:autoSpaceDE w:val="0"/>
        <w:jc w:val="both"/>
        <w:rPr>
          <w:b/>
          <w:lang w:eastAsia="en-US"/>
        </w:rPr>
      </w:pPr>
    </w:p>
    <w:p w:rsidR="00482128" w:rsidRPr="00DC2CE0" w:rsidRDefault="00482128" w:rsidP="00482128">
      <w:pPr>
        <w:suppressAutoHyphens/>
        <w:autoSpaceDE w:val="0"/>
        <w:jc w:val="both"/>
        <w:rPr>
          <w:b/>
          <w:lang w:eastAsia="en-US"/>
        </w:rPr>
      </w:pPr>
      <w:r w:rsidRPr="00DC2CE0">
        <w:rPr>
          <w:b/>
          <w:lang w:eastAsia="en-US"/>
        </w:rPr>
        <w:t>FOR THESE REASONS,</w:t>
      </w:r>
    </w:p>
    <w:p w:rsidR="00482128" w:rsidRPr="00DC2CE0" w:rsidRDefault="00482128" w:rsidP="00482128">
      <w:pPr>
        <w:suppressAutoHyphens/>
        <w:autoSpaceDE w:val="0"/>
        <w:jc w:val="both"/>
        <w:rPr>
          <w:lang w:eastAsia="en-US"/>
        </w:rPr>
      </w:pPr>
    </w:p>
    <w:p w:rsidR="005C125D" w:rsidRPr="00DC2CE0" w:rsidRDefault="005C125D" w:rsidP="00482128">
      <w:pPr>
        <w:suppressAutoHyphens/>
        <w:autoSpaceDE w:val="0"/>
        <w:jc w:val="both"/>
        <w:rPr>
          <w:lang w:eastAsia="en-US"/>
        </w:rPr>
      </w:pPr>
    </w:p>
    <w:p w:rsidR="00482128" w:rsidRPr="00DC2CE0" w:rsidRDefault="00482128" w:rsidP="00482128">
      <w:pPr>
        <w:suppressAutoHyphens/>
        <w:autoSpaceDE w:val="0"/>
        <w:jc w:val="both"/>
        <w:rPr>
          <w:lang w:eastAsia="en-US"/>
        </w:rPr>
      </w:pPr>
      <w:r w:rsidRPr="00DC2CE0">
        <w:rPr>
          <w:lang w:eastAsia="en-US"/>
        </w:rPr>
        <w:t>The Panel, unanimously,</w:t>
      </w:r>
    </w:p>
    <w:p w:rsidR="00482128" w:rsidRPr="00DC2CE0" w:rsidRDefault="00482128" w:rsidP="00482128">
      <w:pPr>
        <w:suppressAutoHyphens/>
        <w:autoSpaceDE w:val="0"/>
        <w:jc w:val="both"/>
        <w:rPr>
          <w:lang w:eastAsia="en-US"/>
        </w:rPr>
      </w:pPr>
    </w:p>
    <w:p w:rsidR="00482128" w:rsidRPr="00DC2CE0" w:rsidRDefault="00482128" w:rsidP="00482128">
      <w:pPr>
        <w:suppressAutoHyphens/>
        <w:autoSpaceDE w:val="0"/>
        <w:jc w:val="both"/>
        <w:rPr>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1.</w:t>
      </w:r>
      <w:r w:rsidRPr="00DC2CE0">
        <w:rPr>
          <w:b/>
          <w:lang w:eastAsia="en-US"/>
        </w:rPr>
        <w:tab/>
        <w:t xml:space="preserve"> FINDS THAT THERE HAS BEEN A VIOLATION OF THE PROCEDURAL OBLIGATION UNDER ARTICLE 2 OF THE EUROPEAN CONVENTION ON HUMAN RIGHTS;</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2.</w:t>
      </w:r>
      <w:r w:rsidRPr="00DC2CE0">
        <w:rPr>
          <w:b/>
          <w:lang w:eastAsia="en-US"/>
        </w:rPr>
        <w:tab/>
        <w:t>FINDS THAT THERE HAS BEEN A VIOLATION OF THE SUBSTANTIVE OBLIGATION UNDER ARTICLE 3 OF THE EUROPEAN CONVENTION ON HUMAN RIGHTS;</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3.</w:t>
      </w:r>
      <w:r w:rsidRPr="00DC2CE0">
        <w:rPr>
          <w:b/>
          <w:lang w:eastAsia="en-US"/>
        </w:rPr>
        <w:tab/>
        <w:t>RECOMMENDS THAT UNMIK:</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a.</w:t>
      </w:r>
      <w:r w:rsidRPr="00DC2CE0">
        <w:rPr>
          <w:b/>
          <w:lang w:eastAsia="en-US"/>
        </w:rPr>
        <w:tab/>
        <w:t xml:space="preserve">URGES EULEX AND OTHER COMPETENT AUTHORITIES IN KOSOVO TO TAKE ALL POSSIBLE STEPS IN ORDER TO ENSURE THAT THE CRIMINAL INVESTIGATION INTO THE </w:t>
      </w:r>
      <w:r w:rsidR="00283348" w:rsidRPr="00DC2CE0">
        <w:rPr>
          <w:b/>
          <w:lang w:eastAsia="en-US"/>
        </w:rPr>
        <w:t>ABDUCTION</w:t>
      </w:r>
      <w:r w:rsidRPr="00DC2CE0">
        <w:rPr>
          <w:b/>
          <w:lang w:eastAsia="en-US"/>
        </w:rPr>
        <w:t xml:space="preserve"> </w:t>
      </w:r>
      <w:r w:rsidR="00283348" w:rsidRPr="00DC2CE0">
        <w:rPr>
          <w:b/>
          <w:lang w:eastAsia="en-US"/>
        </w:rPr>
        <w:t>OF THE COMPLAINANT</w:t>
      </w:r>
      <w:r w:rsidR="007E0476" w:rsidRPr="00DC2CE0">
        <w:rPr>
          <w:b/>
          <w:lang w:eastAsia="en-US"/>
        </w:rPr>
        <w:t>’</w:t>
      </w:r>
      <w:r w:rsidR="00283348" w:rsidRPr="00DC2CE0">
        <w:rPr>
          <w:b/>
          <w:lang w:eastAsia="en-US"/>
        </w:rPr>
        <w:t>S HUSBAND</w:t>
      </w:r>
      <w:r w:rsidRPr="00DC2CE0">
        <w:rPr>
          <w:b/>
          <w:lang w:eastAsia="en-US"/>
        </w:rPr>
        <w:t xml:space="preserve"> </w:t>
      </w:r>
      <w:r w:rsidR="00283348" w:rsidRPr="00DC2CE0">
        <w:rPr>
          <w:b/>
          <w:lang w:eastAsia="en-US"/>
        </w:rPr>
        <w:t xml:space="preserve">IS </w:t>
      </w:r>
      <w:r w:rsidRPr="00DC2CE0">
        <w:rPr>
          <w:b/>
          <w:lang w:eastAsia="en-US"/>
        </w:rPr>
        <w:t>CONTINUED IN COMPLIANCE WITH ARTICLE 2 OF THE ECHR AND THAT THE PERPETRATORS ARE BROUGHT TO JUSTICE;</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b.</w:t>
      </w:r>
      <w:r w:rsidRPr="00DC2CE0">
        <w:rPr>
          <w:b/>
          <w:lang w:eastAsia="en-US"/>
        </w:rPr>
        <w:tab/>
        <w:t xml:space="preserve">PUBLICLY ACKNOWLEDGES RESPONSIBILITY FOR ITS FAILURE TO CONDUCT AN EFFECTIVE INVESTIGATION INTO THE </w:t>
      </w:r>
      <w:r w:rsidR="00283348" w:rsidRPr="00DC2CE0">
        <w:rPr>
          <w:b/>
          <w:lang w:eastAsia="en-US"/>
        </w:rPr>
        <w:t>ABDUCTION OF THE COMPLAINANT</w:t>
      </w:r>
      <w:r w:rsidR="007E0476" w:rsidRPr="00DC2CE0">
        <w:rPr>
          <w:b/>
          <w:lang w:eastAsia="en-US"/>
        </w:rPr>
        <w:t>’</w:t>
      </w:r>
      <w:r w:rsidRPr="00DC2CE0">
        <w:rPr>
          <w:b/>
          <w:lang w:eastAsia="en-US"/>
        </w:rPr>
        <w:t>S</w:t>
      </w:r>
      <w:r w:rsidR="00283348" w:rsidRPr="00DC2CE0">
        <w:rPr>
          <w:b/>
          <w:lang w:eastAsia="en-US"/>
        </w:rPr>
        <w:t xml:space="preserve"> HUSBAND</w:t>
      </w:r>
      <w:r w:rsidRPr="00DC2CE0">
        <w:rPr>
          <w:b/>
          <w:lang w:eastAsia="en-US"/>
        </w:rPr>
        <w:t>, AS WELL AS FOR DISTRESS AND MENTAL SUFFERING INCURRED, AND MAKES A PUBLIC APOLOGY TO THE COMPLAINANT</w:t>
      </w:r>
      <w:r w:rsidR="007E0476" w:rsidRPr="00DC2CE0">
        <w:rPr>
          <w:b/>
          <w:lang w:eastAsia="en-US"/>
        </w:rPr>
        <w:t xml:space="preserve"> AND </w:t>
      </w:r>
      <w:r w:rsidR="00283348" w:rsidRPr="00DC2CE0">
        <w:rPr>
          <w:b/>
          <w:lang w:eastAsia="en-US"/>
        </w:rPr>
        <w:t>H</w:t>
      </w:r>
      <w:r w:rsidRPr="00DC2CE0">
        <w:rPr>
          <w:b/>
          <w:lang w:eastAsia="en-US"/>
        </w:rPr>
        <w:t>ER FAMILY;</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c.</w:t>
      </w:r>
      <w:r w:rsidRPr="00DC2CE0">
        <w:rPr>
          <w:b/>
          <w:lang w:eastAsia="en-US"/>
        </w:rPr>
        <w:tab/>
        <w:t>TAKES APPROPRIATE STEPS TOWARDS PAYMENT OF ADEQUATE COMPENSATION OF THE COMPLAINANT FOR MORAL DAMAGE IN RELATION TO THE FINDING OF VIOLATIONS OF ARTICLE 2 AND ARTICLE 3 OF THE ECHR.</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d.</w:t>
      </w:r>
      <w:r w:rsidRPr="00DC2CE0">
        <w:rPr>
          <w:b/>
          <w:lang w:eastAsia="en-US"/>
        </w:rPr>
        <w:tab/>
        <w:t>TAKES APPROPRIATE STEPS TOWARDS THE REALISATION OF A FULL AND COMPREHENSIVE REPARATION PROGRAMME;</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e.</w:t>
      </w:r>
      <w:r w:rsidRPr="00DC2CE0">
        <w:rPr>
          <w:b/>
          <w:lang w:eastAsia="en-US"/>
        </w:rPr>
        <w:tab/>
        <w:t>TAKES APPROPRIATE STEPS AT THE UNITED NATIONS AS A GUARANTEE OF NON REPETITION;</w:t>
      </w:r>
    </w:p>
    <w:p w:rsidR="00482128" w:rsidRPr="00DC2CE0" w:rsidRDefault="00482128" w:rsidP="00482128">
      <w:pPr>
        <w:suppressAutoHyphens/>
        <w:autoSpaceDE w:val="0"/>
        <w:jc w:val="both"/>
        <w:rPr>
          <w:b/>
          <w:lang w:eastAsia="en-US"/>
        </w:rPr>
      </w:pPr>
    </w:p>
    <w:p w:rsidR="00482128" w:rsidRPr="00DC2CE0" w:rsidRDefault="00482128" w:rsidP="005C125D">
      <w:pPr>
        <w:tabs>
          <w:tab w:val="left" w:pos="426"/>
        </w:tabs>
        <w:suppressAutoHyphens/>
        <w:autoSpaceDE w:val="0"/>
        <w:jc w:val="both"/>
        <w:rPr>
          <w:b/>
          <w:lang w:eastAsia="en-US"/>
        </w:rPr>
      </w:pPr>
      <w:r w:rsidRPr="00DC2CE0">
        <w:rPr>
          <w:b/>
          <w:lang w:eastAsia="en-US"/>
        </w:rPr>
        <w:t>f.</w:t>
      </w:r>
      <w:r w:rsidRPr="00DC2CE0">
        <w:rPr>
          <w:b/>
          <w:lang w:eastAsia="en-US"/>
        </w:rPr>
        <w:tab/>
        <w:t>TAKES IMMEDIATE AND EFFECTIVE MEASURES TO IMPLEMENT THE RECOMMENDATIONS OF THE PANEL AND TO INFORM THE COMPLAINANT AND THE PANEL ABOUT FURTHER DEVELOPMENTS IN THIS CASE.</w:t>
      </w:r>
    </w:p>
    <w:p w:rsidR="00482128" w:rsidRPr="00DC2CE0" w:rsidRDefault="00482128" w:rsidP="00482128">
      <w:pPr>
        <w:suppressAutoHyphens/>
        <w:autoSpaceDE w:val="0"/>
        <w:jc w:val="both"/>
        <w:rPr>
          <w:lang w:eastAsia="en-US"/>
        </w:rPr>
      </w:pPr>
    </w:p>
    <w:p w:rsidR="00482128" w:rsidRPr="00DC2CE0" w:rsidRDefault="00482128" w:rsidP="00482128">
      <w:pPr>
        <w:suppressAutoHyphens/>
        <w:autoSpaceDE w:val="0"/>
        <w:jc w:val="both"/>
        <w:rPr>
          <w:lang w:eastAsia="en-US"/>
        </w:rPr>
      </w:pPr>
    </w:p>
    <w:p w:rsidR="00B05134" w:rsidRPr="00DC2CE0" w:rsidRDefault="00B05134" w:rsidP="00AF16F6"/>
    <w:p w:rsidR="00B05134" w:rsidRDefault="00B05134" w:rsidP="00AF16F6">
      <w:pPr>
        <w:tabs>
          <w:tab w:val="left" w:pos="357"/>
        </w:tabs>
        <w:autoSpaceDE w:val="0"/>
        <w:jc w:val="both"/>
      </w:pPr>
    </w:p>
    <w:p w:rsidR="00C976B3" w:rsidRDefault="00C976B3" w:rsidP="00AF16F6">
      <w:pPr>
        <w:tabs>
          <w:tab w:val="left" w:pos="357"/>
        </w:tabs>
        <w:autoSpaceDE w:val="0"/>
        <w:jc w:val="both"/>
      </w:pPr>
    </w:p>
    <w:p w:rsidR="00C976B3" w:rsidRPr="00DC2CE0" w:rsidRDefault="00C976B3" w:rsidP="00AF16F6">
      <w:pPr>
        <w:tabs>
          <w:tab w:val="left" w:pos="357"/>
        </w:tabs>
        <w:autoSpaceDE w:val="0"/>
        <w:jc w:val="both"/>
      </w:pPr>
    </w:p>
    <w:p w:rsidR="005C125D" w:rsidRPr="00DC2CE0" w:rsidRDefault="005C125D" w:rsidP="00AF16F6">
      <w:pPr>
        <w:tabs>
          <w:tab w:val="left" w:pos="357"/>
        </w:tabs>
        <w:autoSpaceDE w:val="0"/>
        <w:jc w:val="both"/>
      </w:pPr>
    </w:p>
    <w:p w:rsidR="00B05134" w:rsidRPr="00DC2CE0" w:rsidRDefault="00B05134" w:rsidP="00AF16F6">
      <w:pPr>
        <w:tabs>
          <w:tab w:val="left" w:pos="357"/>
        </w:tabs>
        <w:autoSpaceDE w:val="0"/>
        <w:jc w:val="both"/>
      </w:pPr>
    </w:p>
    <w:p w:rsidR="00B05134" w:rsidRPr="00DC2CE0" w:rsidRDefault="00B05134" w:rsidP="00AF16F6">
      <w:pPr>
        <w:tabs>
          <w:tab w:val="left" w:pos="357"/>
        </w:tabs>
        <w:autoSpaceDE w:val="0"/>
        <w:jc w:val="both"/>
      </w:pPr>
    </w:p>
    <w:p w:rsidR="00B05134" w:rsidRPr="00DC2CE0" w:rsidRDefault="00B05134" w:rsidP="005C125D">
      <w:pPr>
        <w:autoSpaceDE w:val="0"/>
      </w:pPr>
      <w:r w:rsidRPr="00DC2CE0">
        <w:t>A</w:t>
      </w:r>
      <w:r w:rsidR="00700F1D" w:rsidRPr="00DC2CE0">
        <w:t>ndrey ANTONOV</w:t>
      </w:r>
      <w:r w:rsidR="00700F1D" w:rsidRPr="00DC2CE0">
        <w:tab/>
      </w:r>
      <w:r w:rsidR="00700F1D" w:rsidRPr="00DC2CE0">
        <w:tab/>
      </w:r>
      <w:r w:rsidR="00700F1D" w:rsidRPr="00DC2CE0">
        <w:tab/>
      </w:r>
      <w:r w:rsidR="00700F1D" w:rsidRPr="00DC2CE0">
        <w:tab/>
      </w:r>
      <w:r w:rsidR="00700F1D" w:rsidRPr="00DC2CE0">
        <w:tab/>
      </w:r>
      <w:r w:rsidR="00700F1D" w:rsidRPr="00DC2CE0">
        <w:tab/>
      </w:r>
      <w:r w:rsidR="00700F1D" w:rsidRPr="00DC2CE0">
        <w:tab/>
        <w:t>Marek</w:t>
      </w:r>
      <w:r w:rsidR="005C125D" w:rsidRPr="00DC2CE0">
        <w:t xml:space="preserve"> </w:t>
      </w:r>
      <w:r w:rsidR="00700F1D" w:rsidRPr="00DC2CE0">
        <w:t xml:space="preserve">NOWICKI </w:t>
      </w:r>
      <w:r w:rsidRPr="00DC2CE0">
        <w:t xml:space="preserve">Executive Officer </w:t>
      </w:r>
      <w:r w:rsidRPr="00DC2CE0">
        <w:tab/>
      </w:r>
      <w:r w:rsidRPr="00DC2CE0">
        <w:tab/>
      </w:r>
      <w:r w:rsidRPr="00DC2CE0">
        <w:tab/>
      </w:r>
      <w:r w:rsidRPr="00DC2CE0">
        <w:tab/>
      </w:r>
      <w:r w:rsidRPr="00DC2CE0">
        <w:tab/>
      </w:r>
      <w:r w:rsidRPr="00DC2CE0">
        <w:tab/>
      </w:r>
      <w:r w:rsidR="00700F1D" w:rsidRPr="00DC2CE0">
        <w:t xml:space="preserve">            </w:t>
      </w:r>
      <w:r w:rsidRPr="00DC2CE0">
        <w:t>Presiding Member</w:t>
      </w:r>
    </w:p>
    <w:p w:rsidR="00554E1E" w:rsidRPr="00DC2CE0" w:rsidRDefault="00554E1E" w:rsidP="005C125D">
      <w:pPr>
        <w:autoSpaceDE w:val="0"/>
      </w:pPr>
    </w:p>
    <w:p w:rsidR="00554E1E" w:rsidRPr="00DC2CE0" w:rsidRDefault="00554E1E" w:rsidP="00554E1E">
      <w:pPr>
        <w:jc w:val="right"/>
        <w:rPr>
          <w:i/>
        </w:rPr>
      </w:pPr>
      <w:r w:rsidRPr="00DC2CE0">
        <w:rPr>
          <w:i/>
        </w:rPr>
        <w:t>Annex</w:t>
      </w:r>
    </w:p>
    <w:p w:rsidR="00554E1E" w:rsidRPr="00DC2CE0" w:rsidRDefault="00554E1E" w:rsidP="00554E1E"/>
    <w:p w:rsidR="007D18B6" w:rsidRPr="00DC2CE0" w:rsidRDefault="007D18B6" w:rsidP="00554E1E"/>
    <w:p w:rsidR="00554E1E" w:rsidRPr="00DC2CE0" w:rsidRDefault="00554E1E" w:rsidP="00554E1E">
      <w:pPr>
        <w:jc w:val="center"/>
      </w:pPr>
      <w:r w:rsidRPr="00DC2CE0">
        <w:rPr>
          <w:b/>
        </w:rPr>
        <w:t>ABBREVIATIONS AND ACRONYMS</w:t>
      </w:r>
    </w:p>
    <w:p w:rsidR="00554E1E" w:rsidRPr="00DC2CE0" w:rsidRDefault="00554E1E" w:rsidP="00554E1E">
      <w:pPr>
        <w:autoSpaceDE w:val="0"/>
        <w:jc w:val="both"/>
      </w:pPr>
    </w:p>
    <w:p w:rsidR="00554E1E" w:rsidRPr="00DC2CE0" w:rsidRDefault="00554E1E" w:rsidP="00554E1E">
      <w:pPr>
        <w:autoSpaceDE w:val="0"/>
        <w:spacing w:line="276" w:lineRule="auto"/>
        <w:ind w:left="540"/>
        <w:jc w:val="both"/>
      </w:pPr>
      <w:r w:rsidRPr="00DC2CE0">
        <w:rPr>
          <w:b/>
        </w:rPr>
        <w:t xml:space="preserve">CCIU </w:t>
      </w:r>
      <w:r w:rsidRPr="00DC2CE0">
        <w:t>- Central Criminal Investigation Unit</w:t>
      </w:r>
    </w:p>
    <w:p w:rsidR="00554E1E" w:rsidRPr="00DC2CE0" w:rsidRDefault="00554E1E" w:rsidP="00554E1E">
      <w:pPr>
        <w:autoSpaceDE w:val="0"/>
        <w:spacing w:line="276" w:lineRule="auto"/>
        <w:ind w:left="540"/>
        <w:jc w:val="both"/>
      </w:pPr>
      <w:r w:rsidRPr="00DC2CE0">
        <w:rPr>
          <w:b/>
        </w:rPr>
        <w:t xml:space="preserve">DOJ </w:t>
      </w:r>
      <w:r w:rsidRPr="00DC2CE0">
        <w:t>- Department of Justice</w:t>
      </w:r>
    </w:p>
    <w:p w:rsidR="00554E1E" w:rsidRPr="00DC2CE0" w:rsidRDefault="00554E1E" w:rsidP="00554E1E">
      <w:pPr>
        <w:autoSpaceDE w:val="0"/>
        <w:spacing w:line="276" w:lineRule="auto"/>
        <w:ind w:left="540"/>
        <w:jc w:val="both"/>
      </w:pPr>
      <w:r w:rsidRPr="00DC2CE0">
        <w:rPr>
          <w:b/>
        </w:rPr>
        <w:t>ECHR</w:t>
      </w:r>
      <w:r w:rsidRPr="00DC2CE0">
        <w:t xml:space="preserve"> - European Convention on Human Rights</w:t>
      </w:r>
    </w:p>
    <w:p w:rsidR="00554E1E" w:rsidRPr="00DC2CE0" w:rsidRDefault="00554E1E" w:rsidP="00554E1E">
      <w:pPr>
        <w:autoSpaceDE w:val="0"/>
        <w:spacing w:line="276" w:lineRule="auto"/>
        <w:ind w:left="540"/>
        <w:jc w:val="both"/>
      </w:pPr>
      <w:proofErr w:type="spellStart"/>
      <w:r w:rsidRPr="00DC2CE0">
        <w:rPr>
          <w:b/>
        </w:rPr>
        <w:t>ECtHR</w:t>
      </w:r>
      <w:proofErr w:type="spellEnd"/>
      <w:r w:rsidRPr="00DC2CE0">
        <w:rPr>
          <w:b/>
        </w:rPr>
        <w:t xml:space="preserve"> </w:t>
      </w:r>
      <w:r w:rsidRPr="00DC2CE0">
        <w:t xml:space="preserve">- European Court of Human Rights </w:t>
      </w:r>
    </w:p>
    <w:p w:rsidR="00554E1E" w:rsidRPr="00DC2CE0" w:rsidRDefault="00554E1E" w:rsidP="00554E1E">
      <w:pPr>
        <w:autoSpaceDE w:val="0"/>
        <w:spacing w:line="276" w:lineRule="auto"/>
        <w:ind w:left="540"/>
        <w:jc w:val="both"/>
      </w:pPr>
      <w:r w:rsidRPr="00DC2CE0">
        <w:rPr>
          <w:b/>
        </w:rPr>
        <w:t>EU</w:t>
      </w:r>
      <w:r w:rsidRPr="00DC2CE0">
        <w:t xml:space="preserve"> - European Union</w:t>
      </w:r>
    </w:p>
    <w:p w:rsidR="00554E1E" w:rsidRPr="00DC2CE0" w:rsidRDefault="00554E1E" w:rsidP="00554E1E">
      <w:pPr>
        <w:autoSpaceDE w:val="0"/>
        <w:spacing w:line="276" w:lineRule="auto"/>
        <w:ind w:left="540"/>
        <w:jc w:val="both"/>
      </w:pPr>
      <w:r w:rsidRPr="00DC2CE0">
        <w:rPr>
          <w:b/>
        </w:rPr>
        <w:t>EULEX</w:t>
      </w:r>
      <w:r w:rsidRPr="00DC2CE0">
        <w:t xml:space="preserve"> - European Union Rule of Law Mission in Kosovo</w:t>
      </w:r>
    </w:p>
    <w:p w:rsidR="00554E1E" w:rsidRPr="00DC2CE0" w:rsidRDefault="00554E1E" w:rsidP="00554E1E">
      <w:pPr>
        <w:autoSpaceDE w:val="0"/>
        <w:spacing w:line="276" w:lineRule="auto"/>
        <w:ind w:left="540"/>
        <w:jc w:val="both"/>
      </w:pPr>
      <w:r w:rsidRPr="00DC2CE0">
        <w:rPr>
          <w:b/>
        </w:rPr>
        <w:t xml:space="preserve">FRY </w:t>
      </w:r>
      <w:r w:rsidRPr="00DC2CE0">
        <w:t xml:space="preserve">- Federal Republic of Yugoslavia </w:t>
      </w:r>
    </w:p>
    <w:p w:rsidR="00554E1E" w:rsidRPr="00DC2CE0" w:rsidRDefault="00554E1E" w:rsidP="00554E1E">
      <w:pPr>
        <w:autoSpaceDE w:val="0"/>
        <w:spacing w:line="276" w:lineRule="auto"/>
        <w:ind w:left="540"/>
        <w:jc w:val="both"/>
        <w:rPr>
          <w:b/>
        </w:rPr>
      </w:pPr>
      <w:r w:rsidRPr="00DC2CE0">
        <w:rPr>
          <w:rFonts w:cs="CAGLHH+TimesNewRoman"/>
          <w:b/>
        </w:rPr>
        <w:t>GC</w:t>
      </w:r>
      <w:r w:rsidRPr="00DC2CE0">
        <w:rPr>
          <w:rFonts w:cs="CAGLHH+TimesNewRoman"/>
        </w:rPr>
        <w:t xml:space="preserve"> - Grand Chamber of the European Court</w:t>
      </w:r>
      <w:r w:rsidRPr="00DC2CE0">
        <w:t xml:space="preserve"> of Human Rights</w:t>
      </w:r>
    </w:p>
    <w:p w:rsidR="00554E1E" w:rsidRPr="00DC2CE0" w:rsidRDefault="00554E1E" w:rsidP="00554E1E">
      <w:pPr>
        <w:autoSpaceDE w:val="0"/>
        <w:spacing w:line="276" w:lineRule="auto"/>
        <w:ind w:left="540"/>
        <w:jc w:val="both"/>
      </w:pPr>
      <w:r w:rsidRPr="00DC2CE0">
        <w:rPr>
          <w:b/>
        </w:rPr>
        <w:t xml:space="preserve">HRAP </w:t>
      </w:r>
      <w:r w:rsidRPr="00DC2CE0">
        <w:t>- Human Rights Advisory Panel</w:t>
      </w:r>
    </w:p>
    <w:p w:rsidR="00554E1E" w:rsidRPr="00DC2CE0" w:rsidRDefault="00554E1E" w:rsidP="00554E1E">
      <w:pPr>
        <w:autoSpaceDE w:val="0"/>
        <w:spacing w:line="276" w:lineRule="auto"/>
        <w:ind w:left="540"/>
        <w:jc w:val="both"/>
      </w:pPr>
      <w:r w:rsidRPr="00DC2CE0">
        <w:rPr>
          <w:b/>
        </w:rPr>
        <w:t>HRC</w:t>
      </w:r>
      <w:r w:rsidRPr="00DC2CE0">
        <w:t xml:space="preserve"> - United Nations Human Rights Committee</w:t>
      </w:r>
    </w:p>
    <w:p w:rsidR="00554E1E" w:rsidRPr="00DC2CE0" w:rsidRDefault="00554E1E" w:rsidP="00554E1E">
      <w:pPr>
        <w:autoSpaceDE w:val="0"/>
        <w:spacing w:line="276" w:lineRule="auto"/>
        <w:ind w:left="540"/>
        <w:jc w:val="both"/>
      </w:pPr>
      <w:proofErr w:type="spellStart"/>
      <w:r w:rsidRPr="00DC2CE0">
        <w:rPr>
          <w:b/>
        </w:rPr>
        <w:t>IACtHR</w:t>
      </w:r>
      <w:proofErr w:type="spellEnd"/>
      <w:r w:rsidRPr="00DC2CE0">
        <w:rPr>
          <w:b/>
        </w:rPr>
        <w:t xml:space="preserve"> </w:t>
      </w:r>
      <w:r w:rsidRPr="00DC2CE0">
        <w:t>- Inter-American Court of Human Rights</w:t>
      </w:r>
    </w:p>
    <w:p w:rsidR="00554E1E" w:rsidRPr="00DC2CE0" w:rsidRDefault="00554E1E" w:rsidP="00554E1E">
      <w:pPr>
        <w:autoSpaceDE w:val="0"/>
        <w:spacing w:line="276" w:lineRule="auto"/>
        <w:ind w:left="540"/>
        <w:jc w:val="both"/>
      </w:pPr>
      <w:r w:rsidRPr="00DC2CE0">
        <w:rPr>
          <w:b/>
        </w:rPr>
        <w:t xml:space="preserve">ICCPR </w:t>
      </w:r>
      <w:r w:rsidRPr="00DC2CE0">
        <w:t>- International Covenant on Civil and Political Rights</w:t>
      </w:r>
    </w:p>
    <w:p w:rsidR="00554E1E" w:rsidRPr="00DC2CE0" w:rsidRDefault="00554E1E" w:rsidP="00554E1E">
      <w:pPr>
        <w:autoSpaceDE w:val="0"/>
        <w:spacing w:line="276" w:lineRule="auto"/>
        <w:ind w:left="540"/>
        <w:jc w:val="both"/>
      </w:pPr>
      <w:r w:rsidRPr="00DC2CE0">
        <w:rPr>
          <w:b/>
        </w:rPr>
        <w:t>ICMP</w:t>
      </w:r>
      <w:r w:rsidRPr="00DC2CE0">
        <w:t xml:space="preserve"> - International Commission of Missing Persons</w:t>
      </w:r>
    </w:p>
    <w:p w:rsidR="00554E1E" w:rsidRPr="00DC2CE0" w:rsidRDefault="00554E1E" w:rsidP="00554E1E">
      <w:pPr>
        <w:autoSpaceDE w:val="0"/>
        <w:spacing w:line="276" w:lineRule="auto"/>
        <w:ind w:left="540"/>
        <w:jc w:val="both"/>
      </w:pPr>
      <w:r w:rsidRPr="00DC2CE0">
        <w:rPr>
          <w:b/>
        </w:rPr>
        <w:t>ICRC</w:t>
      </w:r>
      <w:r w:rsidRPr="00DC2CE0">
        <w:t xml:space="preserve"> - International Committee of the Red Cross</w:t>
      </w:r>
    </w:p>
    <w:p w:rsidR="00554E1E" w:rsidRPr="00DC2CE0" w:rsidRDefault="00554E1E" w:rsidP="00554E1E">
      <w:pPr>
        <w:autoSpaceDE w:val="0"/>
        <w:spacing w:line="276" w:lineRule="auto"/>
        <w:ind w:left="540"/>
        <w:jc w:val="both"/>
      </w:pPr>
      <w:r w:rsidRPr="00DC2CE0">
        <w:rPr>
          <w:b/>
        </w:rPr>
        <w:t xml:space="preserve">ICTY </w:t>
      </w:r>
      <w:r w:rsidRPr="00DC2CE0">
        <w:t>- International Criminal Tribunal for former Yugoslavia</w:t>
      </w:r>
    </w:p>
    <w:p w:rsidR="00554E1E" w:rsidRPr="00DC2CE0" w:rsidRDefault="00554E1E" w:rsidP="00554E1E">
      <w:pPr>
        <w:autoSpaceDE w:val="0"/>
        <w:spacing w:line="276" w:lineRule="auto"/>
        <w:ind w:left="540"/>
        <w:jc w:val="both"/>
      </w:pPr>
      <w:r w:rsidRPr="00DC2CE0">
        <w:rPr>
          <w:b/>
        </w:rPr>
        <w:t>KFOR</w:t>
      </w:r>
      <w:r w:rsidRPr="00DC2CE0">
        <w:t xml:space="preserve"> - International Security Force (commonly known as Kosovo Force)</w:t>
      </w:r>
    </w:p>
    <w:p w:rsidR="00554E1E" w:rsidRPr="00DC2CE0" w:rsidRDefault="00554E1E" w:rsidP="00554E1E">
      <w:pPr>
        <w:autoSpaceDE w:val="0"/>
        <w:spacing w:line="276" w:lineRule="auto"/>
        <w:ind w:left="540"/>
        <w:jc w:val="both"/>
      </w:pPr>
      <w:r w:rsidRPr="00DC2CE0">
        <w:rPr>
          <w:b/>
        </w:rPr>
        <w:t>KLA</w:t>
      </w:r>
      <w:r w:rsidRPr="00DC2CE0">
        <w:t xml:space="preserve"> - Kosovo Liberation Army</w:t>
      </w:r>
    </w:p>
    <w:p w:rsidR="00554E1E" w:rsidRPr="00DC2CE0" w:rsidRDefault="00554E1E" w:rsidP="00554E1E">
      <w:pPr>
        <w:autoSpaceDE w:val="0"/>
        <w:spacing w:line="276" w:lineRule="auto"/>
        <w:ind w:left="540"/>
        <w:jc w:val="both"/>
      </w:pPr>
      <w:proofErr w:type="spellStart"/>
      <w:r w:rsidRPr="00DC2CE0">
        <w:rPr>
          <w:b/>
        </w:rPr>
        <w:t>MoU</w:t>
      </w:r>
      <w:proofErr w:type="spellEnd"/>
      <w:r w:rsidRPr="00DC2CE0">
        <w:rPr>
          <w:b/>
        </w:rPr>
        <w:t xml:space="preserve"> - </w:t>
      </w:r>
      <w:r w:rsidRPr="00DC2CE0">
        <w:t>Memorandum of Understanding</w:t>
      </w:r>
    </w:p>
    <w:p w:rsidR="00554E1E" w:rsidRPr="00DC2CE0" w:rsidRDefault="00554E1E" w:rsidP="00554E1E">
      <w:pPr>
        <w:autoSpaceDE w:val="0"/>
        <w:spacing w:line="276" w:lineRule="auto"/>
        <w:ind w:left="540"/>
        <w:jc w:val="both"/>
      </w:pPr>
      <w:r w:rsidRPr="00DC2CE0">
        <w:rPr>
          <w:b/>
        </w:rPr>
        <w:t xml:space="preserve">MPU </w:t>
      </w:r>
      <w:r w:rsidRPr="00DC2CE0">
        <w:t>- Missing Persons Unit</w:t>
      </w:r>
    </w:p>
    <w:p w:rsidR="00554E1E" w:rsidRPr="00DC2CE0" w:rsidRDefault="00554E1E" w:rsidP="00554E1E">
      <w:pPr>
        <w:autoSpaceDE w:val="0"/>
        <w:spacing w:line="276" w:lineRule="auto"/>
        <w:ind w:left="540"/>
        <w:jc w:val="both"/>
      </w:pPr>
      <w:r w:rsidRPr="00DC2CE0">
        <w:rPr>
          <w:b/>
        </w:rPr>
        <w:t>NATO</w:t>
      </w:r>
      <w:r w:rsidRPr="00DC2CE0">
        <w:t xml:space="preserve"> - North Atlantic Treaty Organization </w:t>
      </w:r>
    </w:p>
    <w:p w:rsidR="00554E1E" w:rsidRPr="00DC2CE0" w:rsidRDefault="00554E1E" w:rsidP="00554E1E">
      <w:pPr>
        <w:autoSpaceDE w:val="0"/>
        <w:spacing w:line="276" w:lineRule="auto"/>
        <w:ind w:left="540"/>
        <w:jc w:val="both"/>
      </w:pPr>
      <w:r w:rsidRPr="00DC2CE0">
        <w:rPr>
          <w:b/>
        </w:rPr>
        <w:t>OMPF</w:t>
      </w:r>
      <w:r w:rsidRPr="00DC2CE0">
        <w:t xml:space="preserve"> - Office on Missing Persons and Forensics</w:t>
      </w:r>
    </w:p>
    <w:p w:rsidR="00554E1E" w:rsidRPr="00DC2CE0" w:rsidRDefault="00554E1E" w:rsidP="00554E1E">
      <w:pPr>
        <w:autoSpaceDE w:val="0"/>
        <w:spacing w:line="276" w:lineRule="auto"/>
        <w:ind w:left="540"/>
        <w:jc w:val="both"/>
      </w:pPr>
      <w:r w:rsidRPr="00DC2CE0">
        <w:rPr>
          <w:b/>
        </w:rPr>
        <w:t>OSCE</w:t>
      </w:r>
      <w:r w:rsidRPr="00DC2CE0">
        <w:t xml:space="preserve"> - Organization for Security and Cooperation in Europe</w:t>
      </w:r>
    </w:p>
    <w:p w:rsidR="00554E1E" w:rsidRPr="00DC2CE0" w:rsidRDefault="00554E1E" w:rsidP="00554E1E">
      <w:pPr>
        <w:autoSpaceDE w:val="0"/>
        <w:spacing w:line="276" w:lineRule="auto"/>
        <w:ind w:left="540"/>
        <w:jc w:val="both"/>
      </w:pPr>
      <w:r w:rsidRPr="00DC2CE0">
        <w:rPr>
          <w:b/>
        </w:rPr>
        <w:t>SRSG</w:t>
      </w:r>
      <w:r w:rsidRPr="00DC2CE0">
        <w:t xml:space="preserve"> - Special Representative of the Secretary-General </w:t>
      </w:r>
    </w:p>
    <w:p w:rsidR="00554E1E" w:rsidRPr="00DC2CE0" w:rsidRDefault="00554E1E" w:rsidP="00554E1E">
      <w:pPr>
        <w:autoSpaceDE w:val="0"/>
        <w:spacing w:line="276" w:lineRule="auto"/>
        <w:ind w:left="540"/>
        <w:jc w:val="both"/>
      </w:pPr>
      <w:r w:rsidRPr="00DC2CE0">
        <w:rPr>
          <w:b/>
        </w:rPr>
        <w:t>UN</w:t>
      </w:r>
      <w:r w:rsidRPr="00DC2CE0">
        <w:t xml:space="preserve"> - United Nations</w:t>
      </w:r>
    </w:p>
    <w:p w:rsidR="00554E1E" w:rsidRPr="00DC2CE0" w:rsidRDefault="00554E1E" w:rsidP="00554E1E">
      <w:pPr>
        <w:autoSpaceDE w:val="0"/>
        <w:spacing w:line="276" w:lineRule="auto"/>
        <w:ind w:left="540"/>
        <w:jc w:val="both"/>
      </w:pPr>
      <w:r w:rsidRPr="00DC2CE0">
        <w:rPr>
          <w:b/>
        </w:rPr>
        <w:t xml:space="preserve">UNHCR </w:t>
      </w:r>
      <w:r w:rsidRPr="00DC2CE0">
        <w:t>- United Nations High Commissioner for Refugees</w:t>
      </w:r>
    </w:p>
    <w:p w:rsidR="00554E1E" w:rsidRPr="00DC2CE0" w:rsidRDefault="00554E1E" w:rsidP="00554E1E">
      <w:pPr>
        <w:autoSpaceDE w:val="0"/>
        <w:spacing w:line="276" w:lineRule="auto"/>
        <w:ind w:left="540"/>
        <w:jc w:val="both"/>
      </w:pPr>
      <w:r w:rsidRPr="00DC2CE0">
        <w:rPr>
          <w:b/>
        </w:rPr>
        <w:t>UNMIK</w:t>
      </w:r>
      <w:r w:rsidRPr="00DC2CE0">
        <w:t xml:space="preserve"> - United Nations Interim Administration Mission in Kosovo </w:t>
      </w:r>
    </w:p>
    <w:p w:rsidR="00554E1E" w:rsidRPr="00DC2CE0" w:rsidRDefault="00554E1E" w:rsidP="00554E1E">
      <w:pPr>
        <w:autoSpaceDE w:val="0"/>
        <w:spacing w:line="276" w:lineRule="auto"/>
        <w:ind w:left="540"/>
        <w:jc w:val="both"/>
      </w:pPr>
      <w:r w:rsidRPr="00DC2CE0">
        <w:rPr>
          <w:b/>
        </w:rPr>
        <w:t>VRIC</w:t>
      </w:r>
      <w:r w:rsidRPr="00DC2CE0">
        <w:t xml:space="preserve"> - Victim Recovery and Identification Commission</w:t>
      </w:r>
    </w:p>
    <w:p w:rsidR="00554E1E" w:rsidRPr="00DC2CE0" w:rsidRDefault="00554E1E" w:rsidP="00554E1E">
      <w:pPr>
        <w:autoSpaceDE w:val="0"/>
        <w:spacing w:line="276" w:lineRule="auto"/>
        <w:ind w:left="540"/>
        <w:jc w:val="both"/>
      </w:pPr>
      <w:r w:rsidRPr="00DC2CE0">
        <w:rPr>
          <w:b/>
        </w:rPr>
        <w:t xml:space="preserve">WCIU </w:t>
      </w:r>
      <w:r w:rsidRPr="00DC2CE0">
        <w:t>- War Crimes Investigation Unit</w:t>
      </w:r>
    </w:p>
    <w:p w:rsidR="00554E1E" w:rsidRPr="00DC2CE0" w:rsidRDefault="00554E1E" w:rsidP="00554E1E">
      <w:pPr>
        <w:autoSpaceDE w:val="0"/>
        <w:jc w:val="both"/>
      </w:pPr>
    </w:p>
    <w:p w:rsidR="00554E1E" w:rsidRPr="00DC2CE0" w:rsidRDefault="00554E1E" w:rsidP="005C125D">
      <w:pPr>
        <w:autoSpaceDE w:val="0"/>
      </w:pPr>
    </w:p>
    <w:sectPr w:rsidR="00554E1E" w:rsidRPr="00DC2CE0" w:rsidSect="00537CAC">
      <w:headerReference w:type="even" r:id="rId11"/>
      <w:headerReference w:type="default" r:id="rId12"/>
      <w:footerReference w:type="even" r:id="rId13"/>
      <w:footerReference w:type="default" r:id="rId14"/>
      <w:pgSz w:w="11906" w:h="16838"/>
      <w:pgMar w:top="993" w:right="141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90" w:rsidRDefault="000B1790">
      <w:r>
        <w:separator/>
      </w:r>
    </w:p>
  </w:endnote>
  <w:endnote w:type="continuationSeparator" w:id="0">
    <w:p w:rsidR="000B1790" w:rsidRDefault="000B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5" w:rsidRDefault="00AB0FE5" w:rsidP="00B57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FE5" w:rsidRDefault="00AB0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5" w:rsidRDefault="00AB0FE5" w:rsidP="00B57E36">
    <w:pPr>
      <w:pStyle w:val="Footer"/>
      <w:framePr w:wrap="around" w:vAnchor="text" w:hAnchor="margin" w:xAlign="center" w:y="1"/>
      <w:rPr>
        <w:rStyle w:val="PageNumber"/>
      </w:rPr>
    </w:pPr>
  </w:p>
  <w:p w:rsidR="00AB0FE5" w:rsidRDefault="00AB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90" w:rsidRDefault="000B1790">
      <w:r>
        <w:separator/>
      </w:r>
    </w:p>
  </w:footnote>
  <w:footnote w:type="continuationSeparator" w:id="0">
    <w:p w:rsidR="000B1790" w:rsidRDefault="000B1790">
      <w:r>
        <w:continuationSeparator/>
      </w:r>
    </w:p>
  </w:footnote>
  <w:footnote w:id="1">
    <w:p w:rsidR="00AB0FE5" w:rsidRPr="00680EF0" w:rsidRDefault="00AB0FE5" w:rsidP="00265E3B">
      <w:pPr>
        <w:pStyle w:val="FootnoteText"/>
      </w:pPr>
      <w:r>
        <w:rPr>
          <w:rStyle w:val="FootnoteReference"/>
        </w:rPr>
        <w:footnoteRef/>
      </w:r>
      <w:r>
        <w:t xml:space="preserve"> </w:t>
      </w:r>
      <w:r w:rsidRPr="00680EF0">
        <w:t>A list of abbreviations and acronyms contained in the text can be found in the attached Annex.</w:t>
      </w:r>
    </w:p>
    <w:p w:rsidR="00AB0FE5" w:rsidRDefault="00AB0FE5">
      <w:pPr>
        <w:pStyle w:val="FootnoteText"/>
      </w:pPr>
    </w:p>
  </w:footnote>
  <w:footnote w:id="2">
    <w:p w:rsidR="00AB0FE5" w:rsidRDefault="00AB0FE5" w:rsidP="00A54828">
      <w:pPr>
        <w:pStyle w:val="FootnoteText"/>
        <w:jc w:val="both"/>
      </w:pPr>
      <w:r>
        <w:rPr>
          <w:rStyle w:val="FootnoteReference"/>
        </w:rPr>
        <w:footnoteRef/>
      </w:r>
      <w:r>
        <w:t xml:space="preserve"> </w:t>
      </w:r>
      <w:r w:rsidRPr="00024D3A">
        <w:rPr>
          <w:lang w:val="en-GB"/>
        </w:rPr>
        <w:t xml:space="preserve">The references drawn upon by the Panel in setting out this general background include: OSCE, “As seen, as </w:t>
      </w:r>
      <w:proofErr w:type="gramStart"/>
      <w:r w:rsidRPr="00024D3A">
        <w:rPr>
          <w:lang w:val="en-GB"/>
        </w:rPr>
        <w:t>Told</w:t>
      </w:r>
      <w:proofErr w:type="gramEnd"/>
      <w:r w:rsidRPr="00024D3A">
        <w:rPr>
          <w:lang w:val="en-GB"/>
        </w:rPr>
        <w:t>”, Vol. I (October 1998 – June 1999) and Vol. II (14 June – 31 October 1999); quarterly reports of the UN Secretary-General on the United Nations Interim Administration in Kosovo; UNMIK Police Annual Reports (2000, 2001); Humanitarian Law Centre, “Abductions and Disappearan</w:t>
      </w:r>
      <w:r>
        <w:rPr>
          <w:lang w:val="en-GB"/>
        </w:rPr>
        <w:t xml:space="preserve">ces of non-Albanians in Kosovo” </w:t>
      </w:r>
      <w:r w:rsidRPr="00024D3A">
        <w:rPr>
          <w:lang w:val="en-GB"/>
        </w:rPr>
        <w:t>(2001); Humanitarian Law Centre, “Kosovo Memory Book” (htpp://www.kosovomemorybook.org); UNMIK Office on Missing Persons and Forensics, “Activity Report 2002-2004”; European Court of Human Rights,</w:t>
      </w:r>
      <w:r w:rsidRPr="00024D3A">
        <w:rPr>
          <w:i/>
          <w:lang w:val="en-GB"/>
        </w:rPr>
        <w:t xml:space="preserve"> </w:t>
      </w:r>
      <w:proofErr w:type="spellStart"/>
      <w:r w:rsidRPr="00024D3A">
        <w:rPr>
          <w:i/>
          <w:lang w:val="en-GB"/>
        </w:rPr>
        <w:t>Behrami</w:t>
      </w:r>
      <w:proofErr w:type="spellEnd"/>
      <w:r w:rsidRPr="00024D3A">
        <w:rPr>
          <w:i/>
          <w:lang w:val="en-GB"/>
        </w:rPr>
        <w:t xml:space="preserve"> and </w:t>
      </w:r>
      <w:proofErr w:type="spellStart"/>
      <w:r w:rsidRPr="00024D3A">
        <w:rPr>
          <w:i/>
          <w:lang w:val="en-GB"/>
        </w:rPr>
        <w:t>Behrami</w:t>
      </w:r>
      <w:proofErr w:type="spellEnd"/>
      <w:r w:rsidRPr="00024D3A">
        <w:rPr>
          <w:i/>
          <w:lang w:val="en-GB"/>
        </w:rPr>
        <w:t xml:space="preserve"> v. France</w:t>
      </w:r>
      <w:r w:rsidRPr="00024D3A">
        <w:rPr>
          <w:lang w:val="en-GB"/>
        </w:rPr>
        <w:t xml:space="preserve"> and </w:t>
      </w:r>
      <w:proofErr w:type="spellStart"/>
      <w:r w:rsidRPr="00024D3A">
        <w:rPr>
          <w:i/>
          <w:lang w:val="en-GB"/>
        </w:rPr>
        <w:t>Saramati</w:t>
      </w:r>
      <w:proofErr w:type="spellEnd"/>
      <w:r w:rsidRPr="00024D3A">
        <w:rPr>
          <w:i/>
          <w:lang w:val="en-GB"/>
        </w:rPr>
        <w:t xml:space="preserve"> v. France, Germany and Norway</w:t>
      </w:r>
      <w:r w:rsidRPr="00024D3A">
        <w:rPr>
          <w:lang w:val="en-GB"/>
        </w:rPr>
        <w:t xml:space="preserve">, nos. 71412/01 and 78166/01, decision of 2 May 2007; International Commission on Missing Persons, “The Situation in Kosovo: a Stock Taking” (2010); data issued by the United Nations High Commissioner for Refugees, (available at </w:t>
      </w:r>
      <w:hyperlink r:id="rId1" w:history="1">
        <w:r w:rsidRPr="00024D3A">
          <w:rPr>
            <w:rStyle w:val="Hyperlink"/>
            <w:color w:val="auto"/>
            <w:u w:val="none"/>
            <w:lang w:val="en-GB"/>
          </w:rPr>
          <w:t>www.unhchr.org</w:t>
        </w:r>
      </w:hyperlink>
      <w:r w:rsidRPr="00024D3A">
        <w:rPr>
          <w:lang w:val="en-GB"/>
        </w:rPr>
        <w:t xml:space="preserve">) and by the International Committee of the Red Cross (available at </w:t>
      </w:r>
      <w:hyperlink r:id="rId2" w:history="1">
        <w:r w:rsidRPr="00024D3A">
          <w:rPr>
            <w:rStyle w:val="Hyperlink"/>
            <w:color w:val="auto"/>
            <w:u w:val="none"/>
            <w:lang w:val="en-GB"/>
          </w:rPr>
          <w:t>http://familylinks.icrc.org/kosovo/en</w:t>
        </w:r>
      </w:hyperlink>
      <w:r w:rsidRPr="00024D3A">
        <w:rPr>
          <w:lang w:val="en-GB"/>
        </w:rPr>
        <w:t>).</w:t>
      </w:r>
    </w:p>
  </w:footnote>
  <w:footnote w:id="3">
    <w:p w:rsidR="00AB0FE5" w:rsidRDefault="00AB0FE5">
      <w:pPr>
        <w:pStyle w:val="FootnoteText"/>
      </w:pPr>
      <w:r>
        <w:rPr>
          <w:rStyle w:val="FootnoteReference"/>
        </w:rPr>
        <w:footnoteRef/>
      </w:r>
      <w:r>
        <w:t xml:space="preserve"> The database is available at: </w:t>
      </w:r>
      <w:hyperlink r:id="rId3" w:history="1">
        <w:r w:rsidRPr="000969C4">
          <w:rPr>
            <w:rStyle w:val="Hyperlink"/>
            <w:color w:val="auto"/>
          </w:rPr>
          <w:t>www.ic-mp.org/fdmsweb/index.php?w=mp_details&amp;l=en</w:t>
        </w:r>
      </w:hyperlink>
      <w:r w:rsidRPr="000969C4">
        <w:t xml:space="preserve"> </w:t>
      </w:r>
      <w:r>
        <w:t xml:space="preserve">(accessed on 31 </w:t>
      </w:r>
      <w:r w:rsidR="00DC2CE0">
        <w:t>July 2013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5" w:rsidRDefault="00AB0FE5" w:rsidP="00B57E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FE5" w:rsidRDefault="00AB0FE5" w:rsidP="00B57E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5" w:rsidRPr="00AB0FE5" w:rsidRDefault="00AB0FE5">
    <w:pPr>
      <w:pStyle w:val="Header"/>
      <w:jc w:val="right"/>
      <w:rPr>
        <w:sz w:val="20"/>
        <w:szCs w:val="20"/>
      </w:rPr>
    </w:pPr>
    <w:r w:rsidRPr="00AB0FE5">
      <w:rPr>
        <w:sz w:val="20"/>
        <w:szCs w:val="20"/>
      </w:rPr>
      <w:fldChar w:fldCharType="begin"/>
    </w:r>
    <w:r w:rsidRPr="00AB0FE5">
      <w:rPr>
        <w:sz w:val="20"/>
        <w:szCs w:val="20"/>
      </w:rPr>
      <w:instrText xml:space="preserve"> PAGE   \* MERGEFORMAT </w:instrText>
    </w:r>
    <w:r w:rsidRPr="00AB0FE5">
      <w:rPr>
        <w:sz w:val="20"/>
        <w:szCs w:val="20"/>
      </w:rPr>
      <w:fldChar w:fldCharType="separate"/>
    </w:r>
    <w:r w:rsidR="00F81A5E">
      <w:rPr>
        <w:noProof/>
        <w:sz w:val="20"/>
        <w:szCs w:val="20"/>
      </w:rPr>
      <w:t>26</w:t>
    </w:r>
    <w:r w:rsidRPr="00AB0FE5">
      <w:rPr>
        <w:sz w:val="20"/>
        <w:szCs w:val="20"/>
      </w:rPr>
      <w:fldChar w:fldCharType="end"/>
    </w:r>
  </w:p>
  <w:p w:rsidR="00AB0FE5" w:rsidRDefault="00AB0FE5" w:rsidP="00B57E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62623B"/>
    <w:multiLevelType w:val="hybridMultilevel"/>
    <w:tmpl w:val="8E98E726"/>
    <w:lvl w:ilvl="0" w:tplc="340E68D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FE7DDD"/>
    <w:multiLevelType w:val="hybridMultilevel"/>
    <w:tmpl w:val="C2966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D3AEF"/>
    <w:multiLevelType w:val="hybridMultilevel"/>
    <w:tmpl w:val="AA82AE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976661"/>
    <w:multiLevelType w:val="hybridMultilevel"/>
    <w:tmpl w:val="2E1EBF34"/>
    <w:lvl w:ilvl="0" w:tplc="04090017">
      <w:start w:val="1"/>
      <w:numFmt w:val="lowerLetter"/>
      <w:lvlText w:val="%1)"/>
      <w:lvlJc w:val="left"/>
      <w:pPr>
        <w:ind w:left="9090" w:hanging="360"/>
      </w:pPr>
      <w:rPr>
        <w:rFonts w:hint="default"/>
      </w:rPr>
    </w:lvl>
    <w:lvl w:ilvl="1" w:tplc="04090019" w:tentative="1">
      <w:start w:val="1"/>
      <w:numFmt w:val="lowerLetter"/>
      <w:lvlText w:val="%2."/>
      <w:lvlJc w:val="left"/>
      <w:pPr>
        <w:ind w:left="9810" w:hanging="360"/>
      </w:pPr>
    </w:lvl>
    <w:lvl w:ilvl="2" w:tplc="0409001B" w:tentative="1">
      <w:start w:val="1"/>
      <w:numFmt w:val="lowerRoman"/>
      <w:lvlText w:val="%3."/>
      <w:lvlJc w:val="right"/>
      <w:pPr>
        <w:ind w:left="10530" w:hanging="180"/>
      </w:pPr>
    </w:lvl>
    <w:lvl w:ilvl="3" w:tplc="0409000F" w:tentative="1">
      <w:start w:val="1"/>
      <w:numFmt w:val="decimal"/>
      <w:lvlText w:val="%4."/>
      <w:lvlJc w:val="left"/>
      <w:pPr>
        <w:ind w:left="11250" w:hanging="360"/>
      </w:pPr>
    </w:lvl>
    <w:lvl w:ilvl="4" w:tplc="04090019" w:tentative="1">
      <w:start w:val="1"/>
      <w:numFmt w:val="lowerLetter"/>
      <w:lvlText w:val="%5."/>
      <w:lvlJc w:val="left"/>
      <w:pPr>
        <w:ind w:left="11970" w:hanging="360"/>
      </w:pPr>
    </w:lvl>
    <w:lvl w:ilvl="5" w:tplc="0409001B" w:tentative="1">
      <w:start w:val="1"/>
      <w:numFmt w:val="lowerRoman"/>
      <w:lvlText w:val="%6."/>
      <w:lvlJc w:val="right"/>
      <w:pPr>
        <w:ind w:left="12690" w:hanging="180"/>
      </w:pPr>
    </w:lvl>
    <w:lvl w:ilvl="6" w:tplc="0409000F" w:tentative="1">
      <w:start w:val="1"/>
      <w:numFmt w:val="decimal"/>
      <w:lvlText w:val="%7."/>
      <w:lvlJc w:val="left"/>
      <w:pPr>
        <w:ind w:left="13410" w:hanging="360"/>
      </w:pPr>
    </w:lvl>
    <w:lvl w:ilvl="7" w:tplc="04090019" w:tentative="1">
      <w:start w:val="1"/>
      <w:numFmt w:val="lowerLetter"/>
      <w:lvlText w:val="%8."/>
      <w:lvlJc w:val="left"/>
      <w:pPr>
        <w:ind w:left="14130" w:hanging="360"/>
      </w:pPr>
    </w:lvl>
    <w:lvl w:ilvl="8" w:tplc="0409001B" w:tentative="1">
      <w:start w:val="1"/>
      <w:numFmt w:val="lowerRoman"/>
      <w:lvlText w:val="%9."/>
      <w:lvlJc w:val="right"/>
      <w:pPr>
        <w:ind w:left="14850" w:hanging="180"/>
      </w:pPr>
    </w:lvl>
  </w:abstractNum>
  <w:abstractNum w:abstractNumId="7">
    <w:nsid w:val="36EB242E"/>
    <w:multiLevelType w:val="hybridMultilevel"/>
    <w:tmpl w:val="DA3CD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1526C"/>
    <w:multiLevelType w:val="hybridMultilevel"/>
    <w:tmpl w:val="896212EE"/>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1CE871A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F5FAA"/>
    <w:multiLevelType w:val="hybridMultilevel"/>
    <w:tmpl w:val="901607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3E68D8"/>
    <w:multiLevelType w:val="hybridMultilevel"/>
    <w:tmpl w:val="D862E5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44166D"/>
    <w:multiLevelType w:val="hybridMultilevel"/>
    <w:tmpl w:val="CFE649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20219F"/>
    <w:multiLevelType w:val="hybridMultilevel"/>
    <w:tmpl w:val="132AA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3C3CAF"/>
    <w:multiLevelType w:val="hybridMultilevel"/>
    <w:tmpl w:val="759C6C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7A5E2C50"/>
    <w:multiLevelType w:val="hybridMultilevel"/>
    <w:tmpl w:val="B42229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DA6879AE"/>
    <w:lvl w:ilvl="0" w:tplc="68BEA04E">
      <w:start w:val="1"/>
      <w:numFmt w:val="decimal"/>
      <w:lvlText w:val="%1."/>
      <w:lvlJc w:val="left"/>
      <w:pPr>
        <w:tabs>
          <w:tab w:val="num" w:pos="360"/>
        </w:tabs>
        <w:ind w:left="36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7"/>
  </w:num>
  <w:num w:numId="5">
    <w:abstractNumId w:val="13"/>
  </w:num>
  <w:num w:numId="6">
    <w:abstractNumId w:val="6"/>
  </w:num>
  <w:num w:numId="7">
    <w:abstractNumId w:val="9"/>
  </w:num>
  <w:num w:numId="8">
    <w:abstractNumId w:val="3"/>
  </w:num>
  <w:num w:numId="9">
    <w:abstractNumId w:val="4"/>
  </w:num>
  <w:num w:numId="10">
    <w:abstractNumId w:val="15"/>
  </w:num>
  <w:num w:numId="11">
    <w:abstractNumId w:val="5"/>
  </w:num>
  <w:num w:numId="12">
    <w:abstractNumId w:val="10"/>
  </w:num>
  <w:num w:numId="13">
    <w:abstractNumId w:val="16"/>
  </w:num>
  <w:num w:numId="14">
    <w:abstractNumId w:val="17"/>
  </w:num>
  <w:num w:numId="15">
    <w:abstractNumId w:val="12"/>
  </w:num>
  <w:num w:numId="16">
    <w:abstractNumId w:val="2"/>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6"/>
    <w:rsid w:val="000008A0"/>
    <w:rsid w:val="00001026"/>
    <w:rsid w:val="000012E5"/>
    <w:rsid w:val="000019CB"/>
    <w:rsid w:val="00001DF1"/>
    <w:rsid w:val="00001E7B"/>
    <w:rsid w:val="000023AB"/>
    <w:rsid w:val="00003C43"/>
    <w:rsid w:val="00004FF5"/>
    <w:rsid w:val="00012D30"/>
    <w:rsid w:val="00013A1D"/>
    <w:rsid w:val="00014185"/>
    <w:rsid w:val="00015BB1"/>
    <w:rsid w:val="000162A0"/>
    <w:rsid w:val="000165B5"/>
    <w:rsid w:val="00017008"/>
    <w:rsid w:val="000201C7"/>
    <w:rsid w:val="00021E20"/>
    <w:rsid w:val="000254B8"/>
    <w:rsid w:val="00025C26"/>
    <w:rsid w:val="00026592"/>
    <w:rsid w:val="0003164C"/>
    <w:rsid w:val="00031E9A"/>
    <w:rsid w:val="00032831"/>
    <w:rsid w:val="000348DB"/>
    <w:rsid w:val="000360F1"/>
    <w:rsid w:val="000370AB"/>
    <w:rsid w:val="0004526C"/>
    <w:rsid w:val="00045B59"/>
    <w:rsid w:val="0004752F"/>
    <w:rsid w:val="00047867"/>
    <w:rsid w:val="00047B35"/>
    <w:rsid w:val="0005066D"/>
    <w:rsid w:val="000520EA"/>
    <w:rsid w:val="0005240A"/>
    <w:rsid w:val="00052D44"/>
    <w:rsid w:val="000546B4"/>
    <w:rsid w:val="0005558E"/>
    <w:rsid w:val="00056564"/>
    <w:rsid w:val="000574C6"/>
    <w:rsid w:val="00063360"/>
    <w:rsid w:val="0006469D"/>
    <w:rsid w:val="000663F8"/>
    <w:rsid w:val="00066D07"/>
    <w:rsid w:val="0006720D"/>
    <w:rsid w:val="00067FAA"/>
    <w:rsid w:val="000702CF"/>
    <w:rsid w:val="00071CD9"/>
    <w:rsid w:val="00071D5A"/>
    <w:rsid w:val="0007310A"/>
    <w:rsid w:val="00073B6B"/>
    <w:rsid w:val="00075333"/>
    <w:rsid w:val="0007613F"/>
    <w:rsid w:val="00076279"/>
    <w:rsid w:val="00077DF5"/>
    <w:rsid w:val="00080B6F"/>
    <w:rsid w:val="00084F96"/>
    <w:rsid w:val="0008577F"/>
    <w:rsid w:val="00087B66"/>
    <w:rsid w:val="000905B5"/>
    <w:rsid w:val="00091286"/>
    <w:rsid w:val="00093650"/>
    <w:rsid w:val="00094C9C"/>
    <w:rsid w:val="000969C4"/>
    <w:rsid w:val="00096FA5"/>
    <w:rsid w:val="00096FD4"/>
    <w:rsid w:val="00096FD8"/>
    <w:rsid w:val="000971D5"/>
    <w:rsid w:val="0009798E"/>
    <w:rsid w:val="000A1A31"/>
    <w:rsid w:val="000A1BF3"/>
    <w:rsid w:val="000A36D7"/>
    <w:rsid w:val="000A39E4"/>
    <w:rsid w:val="000A4865"/>
    <w:rsid w:val="000A4AAD"/>
    <w:rsid w:val="000A5094"/>
    <w:rsid w:val="000A6347"/>
    <w:rsid w:val="000A760C"/>
    <w:rsid w:val="000B116D"/>
    <w:rsid w:val="000B1790"/>
    <w:rsid w:val="000B3221"/>
    <w:rsid w:val="000B3581"/>
    <w:rsid w:val="000B4CA8"/>
    <w:rsid w:val="000B5375"/>
    <w:rsid w:val="000B6C4A"/>
    <w:rsid w:val="000C141D"/>
    <w:rsid w:val="000C295F"/>
    <w:rsid w:val="000C2C8D"/>
    <w:rsid w:val="000C3817"/>
    <w:rsid w:val="000C48EE"/>
    <w:rsid w:val="000C56BD"/>
    <w:rsid w:val="000C66FC"/>
    <w:rsid w:val="000C6BB4"/>
    <w:rsid w:val="000C707A"/>
    <w:rsid w:val="000C7279"/>
    <w:rsid w:val="000C7308"/>
    <w:rsid w:val="000C7608"/>
    <w:rsid w:val="000D0069"/>
    <w:rsid w:val="000D1422"/>
    <w:rsid w:val="000D22C1"/>
    <w:rsid w:val="000D3FCD"/>
    <w:rsid w:val="000D63E8"/>
    <w:rsid w:val="000D6610"/>
    <w:rsid w:val="000D6A04"/>
    <w:rsid w:val="000D75F4"/>
    <w:rsid w:val="000E0ED3"/>
    <w:rsid w:val="000E1762"/>
    <w:rsid w:val="000E1D1E"/>
    <w:rsid w:val="000E5375"/>
    <w:rsid w:val="000E6508"/>
    <w:rsid w:val="000E6EF2"/>
    <w:rsid w:val="000F021A"/>
    <w:rsid w:val="000F0870"/>
    <w:rsid w:val="000F156B"/>
    <w:rsid w:val="000F19E4"/>
    <w:rsid w:val="000F1D3D"/>
    <w:rsid w:val="000F20E4"/>
    <w:rsid w:val="000F31C5"/>
    <w:rsid w:val="000F392F"/>
    <w:rsid w:val="000F47F9"/>
    <w:rsid w:val="000F7E6E"/>
    <w:rsid w:val="00100191"/>
    <w:rsid w:val="001038C1"/>
    <w:rsid w:val="00104341"/>
    <w:rsid w:val="0010580B"/>
    <w:rsid w:val="00105A67"/>
    <w:rsid w:val="001075D2"/>
    <w:rsid w:val="00107AF5"/>
    <w:rsid w:val="0011119A"/>
    <w:rsid w:val="001136E0"/>
    <w:rsid w:val="00115082"/>
    <w:rsid w:val="00116EE4"/>
    <w:rsid w:val="00117E73"/>
    <w:rsid w:val="00120164"/>
    <w:rsid w:val="001203ED"/>
    <w:rsid w:val="001208B3"/>
    <w:rsid w:val="00120A32"/>
    <w:rsid w:val="0012143B"/>
    <w:rsid w:val="0012184F"/>
    <w:rsid w:val="00123F90"/>
    <w:rsid w:val="00124EA1"/>
    <w:rsid w:val="00125A78"/>
    <w:rsid w:val="00125DB5"/>
    <w:rsid w:val="001264D0"/>
    <w:rsid w:val="001266B1"/>
    <w:rsid w:val="00126A7F"/>
    <w:rsid w:val="00126D85"/>
    <w:rsid w:val="0012709D"/>
    <w:rsid w:val="00127EF1"/>
    <w:rsid w:val="00130B5C"/>
    <w:rsid w:val="00131034"/>
    <w:rsid w:val="0013128F"/>
    <w:rsid w:val="001324EE"/>
    <w:rsid w:val="00132C23"/>
    <w:rsid w:val="00133C15"/>
    <w:rsid w:val="00133C7F"/>
    <w:rsid w:val="00134AC5"/>
    <w:rsid w:val="00134F7B"/>
    <w:rsid w:val="00135003"/>
    <w:rsid w:val="00135775"/>
    <w:rsid w:val="00135F47"/>
    <w:rsid w:val="00136728"/>
    <w:rsid w:val="00140651"/>
    <w:rsid w:val="00140CB6"/>
    <w:rsid w:val="00143D21"/>
    <w:rsid w:val="00143F79"/>
    <w:rsid w:val="00144E64"/>
    <w:rsid w:val="001478D4"/>
    <w:rsid w:val="00147D03"/>
    <w:rsid w:val="001503BE"/>
    <w:rsid w:val="0015167E"/>
    <w:rsid w:val="001522E3"/>
    <w:rsid w:val="00154314"/>
    <w:rsid w:val="001549FB"/>
    <w:rsid w:val="00155422"/>
    <w:rsid w:val="001556D2"/>
    <w:rsid w:val="00157115"/>
    <w:rsid w:val="00160023"/>
    <w:rsid w:val="00160368"/>
    <w:rsid w:val="00160A0A"/>
    <w:rsid w:val="00161197"/>
    <w:rsid w:val="001618BA"/>
    <w:rsid w:val="00165B02"/>
    <w:rsid w:val="00170546"/>
    <w:rsid w:val="0017066D"/>
    <w:rsid w:val="001707FB"/>
    <w:rsid w:val="00170929"/>
    <w:rsid w:val="00171200"/>
    <w:rsid w:val="00171359"/>
    <w:rsid w:val="00171463"/>
    <w:rsid w:val="0017171C"/>
    <w:rsid w:val="001722DB"/>
    <w:rsid w:val="001723CE"/>
    <w:rsid w:val="00172DC6"/>
    <w:rsid w:val="00173928"/>
    <w:rsid w:val="001758A3"/>
    <w:rsid w:val="0017780F"/>
    <w:rsid w:val="00180012"/>
    <w:rsid w:val="00180272"/>
    <w:rsid w:val="001821CE"/>
    <w:rsid w:val="001837F4"/>
    <w:rsid w:val="00184E16"/>
    <w:rsid w:val="00190E92"/>
    <w:rsid w:val="00191623"/>
    <w:rsid w:val="00191B62"/>
    <w:rsid w:val="00192140"/>
    <w:rsid w:val="001931E3"/>
    <w:rsid w:val="001956E8"/>
    <w:rsid w:val="00195FAE"/>
    <w:rsid w:val="001960FF"/>
    <w:rsid w:val="00196676"/>
    <w:rsid w:val="001971EA"/>
    <w:rsid w:val="001A06C2"/>
    <w:rsid w:val="001A076D"/>
    <w:rsid w:val="001A1592"/>
    <w:rsid w:val="001A31E5"/>
    <w:rsid w:val="001A5AB5"/>
    <w:rsid w:val="001A6178"/>
    <w:rsid w:val="001A65E9"/>
    <w:rsid w:val="001A67CF"/>
    <w:rsid w:val="001B3679"/>
    <w:rsid w:val="001B56A5"/>
    <w:rsid w:val="001B5A6B"/>
    <w:rsid w:val="001B5DF9"/>
    <w:rsid w:val="001C1F2D"/>
    <w:rsid w:val="001C24BB"/>
    <w:rsid w:val="001C2988"/>
    <w:rsid w:val="001C3269"/>
    <w:rsid w:val="001C3CCF"/>
    <w:rsid w:val="001C40E8"/>
    <w:rsid w:val="001C59D2"/>
    <w:rsid w:val="001C6344"/>
    <w:rsid w:val="001D070F"/>
    <w:rsid w:val="001D0829"/>
    <w:rsid w:val="001D09C1"/>
    <w:rsid w:val="001D0FFF"/>
    <w:rsid w:val="001D161F"/>
    <w:rsid w:val="001D17BE"/>
    <w:rsid w:val="001D4995"/>
    <w:rsid w:val="001D54F5"/>
    <w:rsid w:val="001D7501"/>
    <w:rsid w:val="001E01AA"/>
    <w:rsid w:val="001E0611"/>
    <w:rsid w:val="001E2560"/>
    <w:rsid w:val="001E3829"/>
    <w:rsid w:val="001E46B2"/>
    <w:rsid w:val="001E6387"/>
    <w:rsid w:val="001E750F"/>
    <w:rsid w:val="001E7A63"/>
    <w:rsid w:val="001F18D8"/>
    <w:rsid w:val="001F6850"/>
    <w:rsid w:val="001F78B7"/>
    <w:rsid w:val="00200559"/>
    <w:rsid w:val="00204F04"/>
    <w:rsid w:val="00210485"/>
    <w:rsid w:val="00210D34"/>
    <w:rsid w:val="00212C87"/>
    <w:rsid w:val="00213C9D"/>
    <w:rsid w:val="00213EE4"/>
    <w:rsid w:val="002145F8"/>
    <w:rsid w:val="00214FD4"/>
    <w:rsid w:val="002167E3"/>
    <w:rsid w:val="002178D9"/>
    <w:rsid w:val="00217B54"/>
    <w:rsid w:val="00221274"/>
    <w:rsid w:val="0022302B"/>
    <w:rsid w:val="00223506"/>
    <w:rsid w:val="00225148"/>
    <w:rsid w:val="00225578"/>
    <w:rsid w:val="002300A5"/>
    <w:rsid w:val="00230630"/>
    <w:rsid w:val="00230E93"/>
    <w:rsid w:val="00231785"/>
    <w:rsid w:val="00232BAF"/>
    <w:rsid w:val="002344C9"/>
    <w:rsid w:val="00234789"/>
    <w:rsid w:val="0023494C"/>
    <w:rsid w:val="0023694D"/>
    <w:rsid w:val="00236B14"/>
    <w:rsid w:val="00237293"/>
    <w:rsid w:val="002402FC"/>
    <w:rsid w:val="002404D1"/>
    <w:rsid w:val="002404F6"/>
    <w:rsid w:val="00240F2F"/>
    <w:rsid w:val="00242778"/>
    <w:rsid w:val="00242A4A"/>
    <w:rsid w:val="00243A89"/>
    <w:rsid w:val="00243E66"/>
    <w:rsid w:val="002451DA"/>
    <w:rsid w:val="00246054"/>
    <w:rsid w:val="00246D61"/>
    <w:rsid w:val="00250B6A"/>
    <w:rsid w:val="00252A3B"/>
    <w:rsid w:val="00256AD1"/>
    <w:rsid w:val="00257AF1"/>
    <w:rsid w:val="00257DF7"/>
    <w:rsid w:val="00260088"/>
    <w:rsid w:val="00260564"/>
    <w:rsid w:val="00260B0A"/>
    <w:rsid w:val="00262A3E"/>
    <w:rsid w:val="002634CC"/>
    <w:rsid w:val="0026397F"/>
    <w:rsid w:val="00264BF3"/>
    <w:rsid w:val="00265E3B"/>
    <w:rsid w:val="00266581"/>
    <w:rsid w:val="00266E35"/>
    <w:rsid w:val="002708A1"/>
    <w:rsid w:val="0027181F"/>
    <w:rsid w:val="00272C65"/>
    <w:rsid w:val="0027366B"/>
    <w:rsid w:val="0028144D"/>
    <w:rsid w:val="0028194A"/>
    <w:rsid w:val="00281D80"/>
    <w:rsid w:val="002825E3"/>
    <w:rsid w:val="002825FD"/>
    <w:rsid w:val="00282FB9"/>
    <w:rsid w:val="00283348"/>
    <w:rsid w:val="00283F58"/>
    <w:rsid w:val="00286977"/>
    <w:rsid w:val="002879B7"/>
    <w:rsid w:val="002916F2"/>
    <w:rsid w:val="00292B3B"/>
    <w:rsid w:val="00294149"/>
    <w:rsid w:val="002942F3"/>
    <w:rsid w:val="0029469A"/>
    <w:rsid w:val="00295563"/>
    <w:rsid w:val="002955F7"/>
    <w:rsid w:val="00295D9E"/>
    <w:rsid w:val="00296B17"/>
    <w:rsid w:val="002978C3"/>
    <w:rsid w:val="002A04F5"/>
    <w:rsid w:val="002A07B4"/>
    <w:rsid w:val="002A0EE4"/>
    <w:rsid w:val="002A0FA2"/>
    <w:rsid w:val="002A1D1D"/>
    <w:rsid w:val="002A2859"/>
    <w:rsid w:val="002A5113"/>
    <w:rsid w:val="002A54BF"/>
    <w:rsid w:val="002A6F11"/>
    <w:rsid w:val="002A7C24"/>
    <w:rsid w:val="002B132E"/>
    <w:rsid w:val="002B1D72"/>
    <w:rsid w:val="002B486D"/>
    <w:rsid w:val="002B4ABF"/>
    <w:rsid w:val="002B7EDE"/>
    <w:rsid w:val="002C1B28"/>
    <w:rsid w:val="002C6478"/>
    <w:rsid w:val="002C6821"/>
    <w:rsid w:val="002C706F"/>
    <w:rsid w:val="002C7211"/>
    <w:rsid w:val="002D03F5"/>
    <w:rsid w:val="002D4AD0"/>
    <w:rsid w:val="002D5FE2"/>
    <w:rsid w:val="002E0644"/>
    <w:rsid w:val="002E093E"/>
    <w:rsid w:val="002E0B3E"/>
    <w:rsid w:val="002E21F5"/>
    <w:rsid w:val="002E248F"/>
    <w:rsid w:val="002E2BCC"/>
    <w:rsid w:val="002E4946"/>
    <w:rsid w:val="002E50EF"/>
    <w:rsid w:val="002E5671"/>
    <w:rsid w:val="002E67E5"/>
    <w:rsid w:val="002E7D58"/>
    <w:rsid w:val="002F04E3"/>
    <w:rsid w:val="002F504D"/>
    <w:rsid w:val="002F5172"/>
    <w:rsid w:val="002F7ACD"/>
    <w:rsid w:val="00300D34"/>
    <w:rsid w:val="0030166D"/>
    <w:rsid w:val="003017C5"/>
    <w:rsid w:val="00301D22"/>
    <w:rsid w:val="00302B4F"/>
    <w:rsid w:val="003033CE"/>
    <w:rsid w:val="00303475"/>
    <w:rsid w:val="00303551"/>
    <w:rsid w:val="003067CC"/>
    <w:rsid w:val="00314091"/>
    <w:rsid w:val="003147BD"/>
    <w:rsid w:val="0031633D"/>
    <w:rsid w:val="00316654"/>
    <w:rsid w:val="0032095D"/>
    <w:rsid w:val="00321D9F"/>
    <w:rsid w:val="00322F73"/>
    <w:rsid w:val="00323031"/>
    <w:rsid w:val="0032498A"/>
    <w:rsid w:val="003260AC"/>
    <w:rsid w:val="00330819"/>
    <w:rsid w:val="0033176B"/>
    <w:rsid w:val="00331DFB"/>
    <w:rsid w:val="00333293"/>
    <w:rsid w:val="00334CE9"/>
    <w:rsid w:val="00334FCA"/>
    <w:rsid w:val="00335B68"/>
    <w:rsid w:val="003367DB"/>
    <w:rsid w:val="003369F9"/>
    <w:rsid w:val="00336C03"/>
    <w:rsid w:val="00336C44"/>
    <w:rsid w:val="003409C7"/>
    <w:rsid w:val="00340FBF"/>
    <w:rsid w:val="00342929"/>
    <w:rsid w:val="0034298B"/>
    <w:rsid w:val="00343EFB"/>
    <w:rsid w:val="0034478F"/>
    <w:rsid w:val="003450E8"/>
    <w:rsid w:val="00345302"/>
    <w:rsid w:val="003474BE"/>
    <w:rsid w:val="00347FED"/>
    <w:rsid w:val="003523EE"/>
    <w:rsid w:val="003541AA"/>
    <w:rsid w:val="003548D9"/>
    <w:rsid w:val="003617A3"/>
    <w:rsid w:val="003622B0"/>
    <w:rsid w:val="00362903"/>
    <w:rsid w:val="00363433"/>
    <w:rsid w:val="00363A6E"/>
    <w:rsid w:val="00363D5C"/>
    <w:rsid w:val="00365672"/>
    <w:rsid w:val="00365C87"/>
    <w:rsid w:val="00366579"/>
    <w:rsid w:val="00366FCA"/>
    <w:rsid w:val="0036798C"/>
    <w:rsid w:val="00370A2D"/>
    <w:rsid w:val="003727C0"/>
    <w:rsid w:val="003747FA"/>
    <w:rsid w:val="00374C04"/>
    <w:rsid w:val="003805E1"/>
    <w:rsid w:val="003806BD"/>
    <w:rsid w:val="00380D1E"/>
    <w:rsid w:val="00382DE2"/>
    <w:rsid w:val="0038430F"/>
    <w:rsid w:val="00386FEF"/>
    <w:rsid w:val="0039286C"/>
    <w:rsid w:val="00392EE9"/>
    <w:rsid w:val="00393035"/>
    <w:rsid w:val="00394221"/>
    <w:rsid w:val="00397086"/>
    <w:rsid w:val="003977D9"/>
    <w:rsid w:val="003A0041"/>
    <w:rsid w:val="003A1CF1"/>
    <w:rsid w:val="003A4B25"/>
    <w:rsid w:val="003A56BB"/>
    <w:rsid w:val="003A5926"/>
    <w:rsid w:val="003A5CEE"/>
    <w:rsid w:val="003A7F11"/>
    <w:rsid w:val="003B0B0E"/>
    <w:rsid w:val="003B0B86"/>
    <w:rsid w:val="003B0D19"/>
    <w:rsid w:val="003B2675"/>
    <w:rsid w:val="003B2980"/>
    <w:rsid w:val="003B4BC2"/>
    <w:rsid w:val="003B542F"/>
    <w:rsid w:val="003B6EC0"/>
    <w:rsid w:val="003B76C5"/>
    <w:rsid w:val="003C06A7"/>
    <w:rsid w:val="003C1BBC"/>
    <w:rsid w:val="003C5578"/>
    <w:rsid w:val="003C58F3"/>
    <w:rsid w:val="003C6612"/>
    <w:rsid w:val="003C6950"/>
    <w:rsid w:val="003D22F1"/>
    <w:rsid w:val="003D486E"/>
    <w:rsid w:val="003D5EDF"/>
    <w:rsid w:val="003D6304"/>
    <w:rsid w:val="003E1D98"/>
    <w:rsid w:val="003E23EA"/>
    <w:rsid w:val="003E25BA"/>
    <w:rsid w:val="003E2E5D"/>
    <w:rsid w:val="003E2FB7"/>
    <w:rsid w:val="003E41F7"/>
    <w:rsid w:val="003E458A"/>
    <w:rsid w:val="003E5915"/>
    <w:rsid w:val="003E5D30"/>
    <w:rsid w:val="003F1223"/>
    <w:rsid w:val="003F1914"/>
    <w:rsid w:val="003F1A4B"/>
    <w:rsid w:val="003F1B4A"/>
    <w:rsid w:val="003F5FB4"/>
    <w:rsid w:val="003F6BD7"/>
    <w:rsid w:val="003F720D"/>
    <w:rsid w:val="003F7E40"/>
    <w:rsid w:val="00400B7C"/>
    <w:rsid w:val="00401926"/>
    <w:rsid w:val="00401B18"/>
    <w:rsid w:val="00402FF7"/>
    <w:rsid w:val="0040308B"/>
    <w:rsid w:val="00405F8F"/>
    <w:rsid w:val="00406116"/>
    <w:rsid w:val="00406561"/>
    <w:rsid w:val="00406A16"/>
    <w:rsid w:val="00406B48"/>
    <w:rsid w:val="00407233"/>
    <w:rsid w:val="004079C5"/>
    <w:rsid w:val="00407E0A"/>
    <w:rsid w:val="00410B4D"/>
    <w:rsid w:val="004130FB"/>
    <w:rsid w:val="00415872"/>
    <w:rsid w:val="0041642B"/>
    <w:rsid w:val="00416605"/>
    <w:rsid w:val="0042043D"/>
    <w:rsid w:val="00420E95"/>
    <w:rsid w:val="00422992"/>
    <w:rsid w:val="00422F32"/>
    <w:rsid w:val="00423430"/>
    <w:rsid w:val="004244BE"/>
    <w:rsid w:val="00426876"/>
    <w:rsid w:val="004270A0"/>
    <w:rsid w:val="00432213"/>
    <w:rsid w:val="0043284C"/>
    <w:rsid w:val="00432FDF"/>
    <w:rsid w:val="00434433"/>
    <w:rsid w:val="004354E0"/>
    <w:rsid w:val="004356E0"/>
    <w:rsid w:val="004378E3"/>
    <w:rsid w:val="004402CA"/>
    <w:rsid w:val="0044167D"/>
    <w:rsid w:val="00441A71"/>
    <w:rsid w:val="00441E76"/>
    <w:rsid w:val="0044346B"/>
    <w:rsid w:val="00443D30"/>
    <w:rsid w:val="00444828"/>
    <w:rsid w:val="00444912"/>
    <w:rsid w:val="004456A2"/>
    <w:rsid w:val="004459C6"/>
    <w:rsid w:val="00446537"/>
    <w:rsid w:val="004472E8"/>
    <w:rsid w:val="00450768"/>
    <w:rsid w:val="00452FF2"/>
    <w:rsid w:val="0045307E"/>
    <w:rsid w:val="0045321B"/>
    <w:rsid w:val="00453B17"/>
    <w:rsid w:val="0045511E"/>
    <w:rsid w:val="004555A1"/>
    <w:rsid w:val="00455A64"/>
    <w:rsid w:val="00456214"/>
    <w:rsid w:val="00456B5F"/>
    <w:rsid w:val="00460088"/>
    <w:rsid w:val="004609EA"/>
    <w:rsid w:val="00461F28"/>
    <w:rsid w:val="0046281A"/>
    <w:rsid w:val="00466E3B"/>
    <w:rsid w:val="004703B4"/>
    <w:rsid w:val="00472C69"/>
    <w:rsid w:val="0047426D"/>
    <w:rsid w:val="00474F51"/>
    <w:rsid w:val="004755D8"/>
    <w:rsid w:val="0047605E"/>
    <w:rsid w:val="004805C3"/>
    <w:rsid w:val="00480DB8"/>
    <w:rsid w:val="00480F47"/>
    <w:rsid w:val="00482128"/>
    <w:rsid w:val="0048329B"/>
    <w:rsid w:val="00485733"/>
    <w:rsid w:val="00485A59"/>
    <w:rsid w:val="00485F7C"/>
    <w:rsid w:val="0049047E"/>
    <w:rsid w:val="004909D1"/>
    <w:rsid w:val="00490C89"/>
    <w:rsid w:val="00491B91"/>
    <w:rsid w:val="00492BE0"/>
    <w:rsid w:val="004933AF"/>
    <w:rsid w:val="00493BE4"/>
    <w:rsid w:val="00494123"/>
    <w:rsid w:val="0049490B"/>
    <w:rsid w:val="00495E4F"/>
    <w:rsid w:val="00496BC7"/>
    <w:rsid w:val="0049720C"/>
    <w:rsid w:val="00497815"/>
    <w:rsid w:val="00497E47"/>
    <w:rsid w:val="004A0756"/>
    <w:rsid w:val="004A1729"/>
    <w:rsid w:val="004A23C9"/>
    <w:rsid w:val="004A2ABA"/>
    <w:rsid w:val="004A46EF"/>
    <w:rsid w:val="004A4CBB"/>
    <w:rsid w:val="004A7A4D"/>
    <w:rsid w:val="004B1BFC"/>
    <w:rsid w:val="004B36BF"/>
    <w:rsid w:val="004B458B"/>
    <w:rsid w:val="004B4C17"/>
    <w:rsid w:val="004B4D14"/>
    <w:rsid w:val="004B5469"/>
    <w:rsid w:val="004B5E6D"/>
    <w:rsid w:val="004B66DA"/>
    <w:rsid w:val="004B69DD"/>
    <w:rsid w:val="004C05A8"/>
    <w:rsid w:val="004C2489"/>
    <w:rsid w:val="004C26CE"/>
    <w:rsid w:val="004C2746"/>
    <w:rsid w:val="004C45E7"/>
    <w:rsid w:val="004C5EB5"/>
    <w:rsid w:val="004C6449"/>
    <w:rsid w:val="004C7605"/>
    <w:rsid w:val="004C7B0E"/>
    <w:rsid w:val="004C7F1D"/>
    <w:rsid w:val="004D007B"/>
    <w:rsid w:val="004D01BD"/>
    <w:rsid w:val="004D0696"/>
    <w:rsid w:val="004D176F"/>
    <w:rsid w:val="004D2047"/>
    <w:rsid w:val="004D225F"/>
    <w:rsid w:val="004D4343"/>
    <w:rsid w:val="004D4DE6"/>
    <w:rsid w:val="004D789F"/>
    <w:rsid w:val="004E0795"/>
    <w:rsid w:val="004E0F69"/>
    <w:rsid w:val="004E1D1B"/>
    <w:rsid w:val="004E402B"/>
    <w:rsid w:val="004E4794"/>
    <w:rsid w:val="004E4CA5"/>
    <w:rsid w:val="004E4E5D"/>
    <w:rsid w:val="004F0A58"/>
    <w:rsid w:val="004F0CBA"/>
    <w:rsid w:val="004F0E5D"/>
    <w:rsid w:val="004F1864"/>
    <w:rsid w:val="004F2257"/>
    <w:rsid w:val="004F466D"/>
    <w:rsid w:val="004F5EFF"/>
    <w:rsid w:val="004F6B32"/>
    <w:rsid w:val="00500246"/>
    <w:rsid w:val="005021BF"/>
    <w:rsid w:val="00503A27"/>
    <w:rsid w:val="00506139"/>
    <w:rsid w:val="00506956"/>
    <w:rsid w:val="00506967"/>
    <w:rsid w:val="00507A3A"/>
    <w:rsid w:val="00510210"/>
    <w:rsid w:val="00510CBA"/>
    <w:rsid w:val="0051509B"/>
    <w:rsid w:val="00520AD3"/>
    <w:rsid w:val="005213D3"/>
    <w:rsid w:val="00522D6A"/>
    <w:rsid w:val="00523E30"/>
    <w:rsid w:val="00524D28"/>
    <w:rsid w:val="005303C7"/>
    <w:rsid w:val="005308F6"/>
    <w:rsid w:val="00530906"/>
    <w:rsid w:val="0053303F"/>
    <w:rsid w:val="00533E6A"/>
    <w:rsid w:val="00534949"/>
    <w:rsid w:val="00537CAC"/>
    <w:rsid w:val="005408D0"/>
    <w:rsid w:val="00543A4A"/>
    <w:rsid w:val="00544233"/>
    <w:rsid w:val="00545307"/>
    <w:rsid w:val="00545382"/>
    <w:rsid w:val="005459C4"/>
    <w:rsid w:val="00550A00"/>
    <w:rsid w:val="00550B57"/>
    <w:rsid w:val="00551840"/>
    <w:rsid w:val="00552696"/>
    <w:rsid w:val="005540FB"/>
    <w:rsid w:val="00554D72"/>
    <w:rsid w:val="00554E1E"/>
    <w:rsid w:val="005553B9"/>
    <w:rsid w:val="00555BAD"/>
    <w:rsid w:val="005561D1"/>
    <w:rsid w:val="00556710"/>
    <w:rsid w:val="00557A68"/>
    <w:rsid w:val="00557D01"/>
    <w:rsid w:val="00561383"/>
    <w:rsid w:val="00561BD5"/>
    <w:rsid w:val="00562CBA"/>
    <w:rsid w:val="005634CE"/>
    <w:rsid w:val="00563D11"/>
    <w:rsid w:val="005649AB"/>
    <w:rsid w:val="0056515E"/>
    <w:rsid w:val="00565B60"/>
    <w:rsid w:val="00565BDE"/>
    <w:rsid w:val="0056607F"/>
    <w:rsid w:val="00566095"/>
    <w:rsid w:val="005702F5"/>
    <w:rsid w:val="00570A39"/>
    <w:rsid w:val="00571974"/>
    <w:rsid w:val="00571CE5"/>
    <w:rsid w:val="00572177"/>
    <w:rsid w:val="00572DDB"/>
    <w:rsid w:val="0057411E"/>
    <w:rsid w:val="00574244"/>
    <w:rsid w:val="00575633"/>
    <w:rsid w:val="005763BB"/>
    <w:rsid w:val="00580902"/>
    <w:rsid w:val="00583062"/>
    <w:rsid w:val="00585124"/>
    <w:rsid w:val="0058635D"/>
    <w:rsid w:val="00586BA6"/>
    <w:rsid w:val="00586EAA"/>
    <w:rsid w:val="0058721F"/>
    <w:rsid w:val="005919FF"/>
    <w:rsid w:val="00594FA2"/>
    <w:rsid w:val="00595E11"/>
    <w:rsid w:val="005964CA"/>
    <w:rsid w:val="00596640"/>
    <w:rsid w:val="00596D98"/>
    <w:rsid w:val="00597EE4"/>
    <w:rsid w:val="005A084D"/>
    <w:rsid w:val="005A10F9"/>
    <w:rsid w:val="005A35E3"/>
    <w:rsid w:val="005A5303"/>
    <w:rsid w:val="005A5338"/>
    <w:rsid w:val="005A6631"/>
    <w:rsid w:val="005A6AAF"/>
    <w:rsid w:val="005A76BC"/>
    <w:rsid w:val="005B1A6D"/>
    <w:rsid w:val="005B28BC"/>
    <w:rsid w:val="005B3441"/>
    <w:rsid w:val="005B64C7"/>
    <w:rsid w:val="005C001D"/>
    <w:rsid w:val="005C009F"/>
    <w:rsid w:val="005C0211"/>
    <w:rsid w:val="005C09E2"/>
    <w:rsid w:val="005C0AC0"/>
    <w:rsid w:val="005C125D"/>
    <w:rsid w:val="005C1D73"/>
    <w:rsid w:val="005C1DEC"/>
    <w:rsid w:val="005C36B6"/>
    <w:rsid w:val="005C37FD"/>
    <w:rsid w:val="005C46DF"/>
    <w:rsid w:val="005C6947"/>
    <w:rsid w:val="005D0B48"/>
    <w:rsid w:val="005D0F02"/>
    <w:rsid w:val="005D146D"/>
    <w:rsid w:val="005D176B"/>
    <w:rsid w:val="005D1DFF"/>
    <w:rsid w:val="005D216B"/>
    <w:rsid w:val="005D23F2"/>
    <w:rsid w:val="005D355F"/>
    <w:rsid w:val="005D3C30"/>
    <w:rsid w:val="005D4720"/>
    <w:rsid w:val="005D7087"/>
    <w:rsid w:val="005D7221"/>
    <w:rsid w:val="005D7F95"/>
    <w:rsid w:val="005E1245"/>
    <w:rsid w:val="005E13BD"/>
    <w:rsid w:val="005E3B22"/>
    <w:rsid w:val="005E47CA"/>
    <w:rsid w:val="005E4E54"/>
    <w:rsid w:val="005E5292"/>
    <w:rsid w:val="005E5A6A"/>
    <w:rsid w:val="005F0014"/>
    <w:rsid w:val="005F18F5"/>
    <w:rsid w:val="005F1EDF"/>
    <w:rsid w:val="005F7B8B"/>
    <w:rsid w:val="00600ED0"/>
    <w:rsid w:val="00601208"/>
    <w:rsid w:val="00601361"/>
    <w:rsid w:val="00604924"/>
    <w:rsid w:val="00604C12"/>
    <w:rsid w:val="00604E7E"/>
    <w:rsid w:val="006062F4"/>
    <w:rsid w:val="0060664B"/>
    <w:rsid w:val="0061014C"/>
    <w:rsid w:val="00610D8A"/>
    <w:rsid w:val="00613235"/>
    <w:rsid w:val="00613B60"/>
    <w:rsid w:val="006147C7"/>
    <w:rsid w:val="00614D1B"/>
    <w:rsid w:val="00621198"/>
    <w:rsid w:val="0062181B"/>
    <w:rsid w:val="0062195A"/>
    <w:rsid w:val="006259A6"/>
    <w:rsid w:val="00626F52"/>
    <w:rsid w:val="00627635"/>
    <w:rsid w:val="006278D5"/>
    <w:rsid w:val="00627AF4"/>
    <w:rsid w:val="00633531"/>
    <w:rsid w:val="006339B3"/>
    <w:rsid w:val="00633EF9"/>
    <w:rsid w:val="0063505D"/>
    <w:rsid w:val="006354D2"/>
    <w:rsid w:val="00637854"/>
    <w:rsid w:val="00640608"/>
    <w:rsid w:val="00641567"/>
    <w:rsid w:val="00642C14"/>
    <w:rsid w:val="00643DBA"/>
    <w:rsid w:val="00643DD0"/>
    <w:rsid w:val="00644B6F"/>
    <w:rsid w:val="006462CD"/>
    <w:rsid w:val="00646913"/>
    <w:rsid w:val="00646A4E"/>
    <w:rsid w:val="00651915"/>
    <w:rsid w:val="006525A2"/>
    <w:rsid w:val="0065761C"/>
    <w:rsid w:val="006578F5"/>
    <w:rsid w:val="00660841"/>
    <w:rsid w:val="00660F3F"/>
    <w:rsid w:val="006611C5"/>
    <w:rsid w:val="00663B20"/>
    <w:rsid w:val="0066413F"/>
    <w:rsid w:val="006645B5"/>
    <w:rsid w:val="006646C0"/>
    <w:rsid w:val="00664955"/>
    <w:rsid w:val="00665D54"/>
    <w:rsid w:val="006675AA"/>
    <w:rsid w:val="00667F2B"/>
    <w:rsid w:val="00671D8B"/>
    <w:rsid w:val="00673639"/>
    <w:rsid w:val="00673FB1"/>
    <w:rsid w:val="006754DD"/>
    <w:rsid w:val="0067563A"/>
    <w:rsid w:val="006759E4"/>
    <w:rsid w:val="00675EC8"/>
    <w:rsid w:val="00677703"/>
    <w:rsid w:val="006805BE"/>
    <w:rsid w:val="006813F8"/>
    <w:rsid w:val="0068192A"/>
    <w:rsid w:val="00683389"/>
    <w:rsid w:val="00684660"/>
    <w:rsid w:val="006931BB"/>
    <w:rsid w:val="00693F40"/>
    <w:rsid w:val="006953C5"/>
    <w:rsid w:val="00696E51"/>
    <w:rsid w:val="006975AE"/>
    <w:rsid w:val="00697EF3"/>
    <w:rsid w:val="006A1376"/>
    <w:rsid w:val="006A2D41"/>
    <w:rsid w:val="006A382E"/>
    <w:rsid w:val="006A43A9"/>
    <w:rsid w:val="006A5A52"/>
    <w:rsid w:val="006A6CC9"/>
    <w:rsid w:val="006A6F0F"/>
    <w:rsid w:val="006A705E"/>
    <w:rsid w:val="006A7569"/>
    <w:rsid w:val="006A770C"/>
    <w:rsid w:val="006B0966"/>
    <w:rsid w:val="006B0BA2"/>
    <w:rsid w:val="006B15E5"/>
    <w:rsid w:val="006B1A6F"/>
    <w:rsid w:val="006B2655"/>
    <w:rsid w:val="006B27F8"/>
    <w:rsid w:val="006B2F70"/>
    <w:rsid w:val="006B3D6E"/>
    <w:rsid w:val="006B4861"/>
    <w:rsid w:val="006B5844"/>
    <w:rsid w:val="006B7F04"/>
    <w:rsid w:val="006C0517"/>
    <w:rsid w:val="006C0E6F"/>
    <w:rsid w:val="006C12D7"/>
    <w:rsid w:val="006C1F2C"/>
    <w:rsid w:val="006C3878"/>
    <w:rsid w:val="006C519B"/>
    <w:rsid w:val="006C5309"/>
    <w:rsid w:val="006C6658"/>
    <w:rsid w:val="006C6843"/>
    <w:rsid w:val="006C733B"/>
    <w:rsid w:val="006C7858"/>
    <w:rsid w:val="006C7FF7"/>
    <w:rsid w:val="006D088A"/>
    <w:rsid w:val="006D0942"/>
    <w:rsid w:val="006D3F60"/>
    <w:rsid w:val="006D4339"/>
    <w:rsid w:val="006D59D8"/>
    <w:rsid w:val="006D7822"/>
    <w:rsid w:val="006E0009"/>
    <w:rsid w:val="006E05AE"/>
    <w:rsid w:val="006E061B"/>
    <w:rsid w:val="006E06C6"/>
    <w:rsid w:val="006E3B6A"/>
    <w:rsid w:val="006E62BD"/>
    <w:rsid w:val="006E6F2F"/>
    <w:rsid w:val="006E7EB0"/>
    <w:rsid w:val="006F026C"/>
    <w:rsid w:val="006F1F84"/>
    <w:rsid w:val="006F4A6F"/>
    <w:rsid w:val="006F542A"/>
    <w:rsid w:val="006F581A"/>
    <w:rsid w:val="006F721F"/>
    <w:rsid w:val="006F7625"/>
    <w:rsid w:val="006F78BB"/>
    <w:rsid w:val="006F7943"/>
    <w:rsid w:val="006F7AF4"/>
    <w:rsid w:val="00700083"/>
    <w:rsid w:val="00700426"/>
    <w:rsid w:val="00700E3A"/>
    <w:rsid w:val="00700F1D"/>
    <w:rsid w:val="00701985"/>
    <w:rsid w:val="007025D0"/>
    <w:rsid w:val="00702C77"/>
    <w:rsid w:val="00703450"/>
    <w:rsid w:val="0070387D"/>
    <w:rsid w:val="007071B8"/>
    <w:rsid w:val="00707D66"/>
    <w:rsid w:val="00710C68"/>
    <w:rsid w:val="00710F9E"/>
    <w:rsid w:val="00711425"/>
    <w:rsid w:val="007114F4"/>
    <w:rsid w:val="00711FC1"/>
    <w:rsid w:val="00712491"/>
    <w:rsid w:val="00712B4E"/>
    <w:rsid w:val="00716200"/>
    <w:rsid w:val="007168F9"/>
    <w:rsid w:val="00716964"/>
    <w:rsid w:val="007175CA"/>
    <w:rsid w:val="00720DDE"/>
    <w:rsid w:val="00721760"/>
    <w:rsid w:val="0072683A"/>
    <w:rsid w:val="00726C6D"/>
    <w:rsid w:val="00727E04"/>
    <w:rsid w:val="007305C6"/>
    <w:rsid w:val="007316FC"/>
    <w:rsid w:val="0073334B"/>
    <w:rsid w:val="007337F9"/>
    <w:rsid w:val="00734EE5"/>
    <w:rsid w:val="00736CDB"/>
    <w:rsid w:val="00737CB4"/>
    <w:rsid w:val="007426F9"/>
    <w:rsid w:val="0074571C"/>
    <w:rsid w:val="00745B72"/>
    <w:rsid w:val="00745F97"/>
    <w:rsid w:val="00746829"/>
    <w:rsid w:val="00751AD2"/>
    <w:rsid w:val="00753174"/>
    <w:rsid w:val="00753188"/>
    <w:rsid w:val="007573A6"/>
    <w:rsid w:val="0076228E"/>
    <w:rsid w:val="0076263E"/>
    <w:rsid w:val="00763706"/>
    <w:rsid w:val="0076613B"/>
    <w:rsid w:val="00767166"/>
    <w:rsid w:val="00771083"/>
    <w:rsid w:val="00771208"/>
    <w:rsid w:val="007732E5"/>
    <w:rsid w:val="0077464F"/>
    <w:rsid w:val="00776019"/>
    <w:rsid w:val="00776280"/>
    <w:rsid w:val="0077692C"/>
    <w:rsid w:val="0077698A"/>
    <w:rsid w:val="00776A63"/>
    <w:rsid w:val="00781155"/>
    <w:rsid w:val="007820F7"/>
    <w:rsid w:val="00783472"/>
    <w:rsid w:val="007834FC"/>
    <w:rsid w:val="00783E50"/>
    <w:rsid w:val="0078752D"/>
    <w:rsid w:val="00791393"/>
    <w:rsid w:val="00792586"/>
    <w:rsid w:val="007929A5"/>
    <w:rsid w:val="00797E53"/>
    <w:rsid w:val="007A0FF7"/>
    <w:rsid w:val="007A147F"/>
    <w:rsid w:val="007A16E6"/>
    <w:rsid w:val="007A329E"/>
    <w:rsid w:val="007A4D1F"/>
    <w:rsid w:val="007A5C62"/>
    <w:rsid w:val="007B0448"/>
    <w:rsid w:val="007B04C4"/>
    <w:rsid w:val="007B21C5"/>
    <w:rsid w:val="007B3F18"/>
    <w:rsid w:val="007B4270"/>
    <w:rsid w:val="007B4570"/>
    <w:rsid w:val="007B51B0"/>
    <w:rsid w:val="007B60D9"/>
    <w:rsid w:val="007B6897"/>
    <w:rsid w:val="007C0B35"/>
    <w:rsid w:val="007C1BB5"/>
    <w:rsid w:val="007C1C27"/>
    <w:rsid w:val="007C1CC5"/>
    <w:rsid w:val="007C1E99"/>
    <w:rsid w:val="007C1EF7"/>
    <w:rsid w:val="007C2D77"/>
    <w:rsid w:val="007C30AB"/>
    <w:rsid w:val="007C4734"/>
    <w:rsid w:val="007C4A40"/>
    <w:rsid w:val="007C635B"/>
    <w:rsid w:val="007C748E"/>
    <w:rsid w:val="007C7B22"/>
    <w:rsid w:val="007D00B6"/>
    <w:rsid w:val="007D18B6"/>
    <w:rsid w:val="007D4103"/>
    <w:rsid w:val="007D6BBF"/>
    <w:rsid w:val="007D72D0"/>
    <w:rsid w:val="007D736F"/>
    <w:rsid w:val="007D750F"/>
    <w:rsid w:val="007D7633"/>
    <w:rsid w:val="007D7EC6"/>
    <w:rsid w:val="007E01A9"/>
    <w:rsid w:val="007E02B7"/>
    <w:rsid w:val="007E0476"/>
    <w:rsid w:val="007E1DDD"/>
    <w:rsid w:val="007E37E1"/>
    <w:rsid w:val="007E5B14"/>
    <w:rsid w:val="007E6D07"/>
    <w:rsid w:val="007E7A42"/>
    <w:rsid w:val="007E7D3A"/>
    <w:rsid w:val="007E7F03"/>
    <w:rsid w:val="007F14A5"/>
    <w:rsid w:val="007F2175"/>
    <w:rsid w:val="007F2AD1"/>
    <w:rsid w:val="007F2D43"/>
    <w:rsid w:val="007F41B4"/>
    <w:rsid w:val="007F49AE"/>
    <w:rsid w:val="007F5FF2"/>
    <w:rsid w:val="0080114F"/>
    <w:rsid w:val="008026B1"/>
    <w:rsid w:val="00802830"/>
    <w:rsid w:val="00803783"/>
    <w:rsid w:val="00804A42"/>
    <w:rsid w:val="00804A7D"/>
    <w:rsid w:val="00806124"/>
    <w:rsid w:val="008074AC"/>
    <w:rsid w:val="00807822"/>
    <w:rsid w:val="0081014F"/>
    <w:rsid w:val="008121F3"/>
    <w:rsid w:val="00814D2E"/>
    <w:rsid w:val="008151C8"/>
    <w:rsid w:val="00816405"/>
    <w:rsid w:val="0081734B"/>
    <w:rsid w:val="00821BDA"/>
    <w:rsid w:val="0082277E"/>
    <w:rsid w:val="0082289A"/>
    <w:rsid w:val="0082667A"/>
    <w:rsid w:val="008277E2"/>
    <w:rsid w:val="00827BED"/>
    <w:rsid w:val="00830091"/>
    <w:rsid w:val="00830831"/>
    <w:rsid w:val="008319DE"/>
    <w:rsid w:val="0083267A"/>
    <w:rsid w:val="00832A79"/>
    <w:rsid w:val="00834EBA"/>
    <w:rsid w:val="00834FAA"/>
    <w:rsid w:val="008350BC"/>
    <w:rsid w:val="0083518C"/>
    <w:rsid w:val="00835250"/>
    <w:rsid w:val="00837A22"/>
    <w:rsid w:val="00837CFC"/>
    <w:rsid w:val="0084197A"/>
    <w:rsid w:val="00841FFF"/>
    <w:rsid w:val="00842AD1"/>
    <w:rsid w:val="008444E0"/>
    <w:rsid w:val="00844A1B"/>
    <w:rsid w:val="00847455"/>
    <w:rsid w:val="00850C75"/>
    <w:rsid w:val="008531F1"/>
    <w:rsid w:val="00854DCD"/>
    <w:rsid w:val="00854F01"/>
    <w:rsid w:val="008568EF"/>
    <w:rsid w:val="008601F4"/>
    <w:rsid w:val="00860330"/>
    <w:rsid w:val="00860A1A"/>
    <w:rsid w:val="0086283C"/>
    <w:rsid w:val="00862EB8"/>
    <w:rsid w:val="00863B7D"/>
    <w:rsid w:val="00864432"/>
    <w:rsid w:val="008644AF"/>
    <w:rsid w:val="00864675"/>
    <w:rsid w:val="00865147"/>
    <w:rsid w:val="00865309"/>
    <w:rsid w:val="0086531C"/>
    <w:rsid w:val="00865C86"/>
    <w:rsid w:val="00865F38"/>
    <w:rsid w:val="00865F3C"/>
    <w:rsid w:val="00866330"/>
    <w:rsid w:val="00867502"/>
    <w:rsid w:val="008706D2"/>
    <w:rsid w:val="00870C2F"/>
    <w:rsid w:val="008714CC"/>
    <w:rsid w:val="008719CE"/>
    <w:rsid w:val="00872508"/>
    <w:rsid w:val="00872E34"/>
    <w:rsid w:val="008748C8"/>
    <w:rsid w:val="00876CC0"/>
    <w:rsid w:val="008800C0"/>
    <w:rsid w:val="008801E0"/>
    <w:rsid w:val="00882836"/>
    <w:rsid w:val="00883658"/>
    <w:rsid w:val="00887421"/>
    <w:rsid w:val="00892E7B"/>
    <w:rsid w:val="00894187"/>
    <w:rsid w:val="008955F8"/>
    <w:rsid w:val="00897811"/>
    <w:rsid w:val="008A1B7D"/>
    <w:rsid w:val="008A4068"/>
    <w:rsid w:val="008B2BEA"/>
    <w:rsid w:val="008B36D2"/>
    <w:rsid w:val="008B3774"/>
    <w:rsid w:val="008B4BA5"/>
    <w:rsid w:val="008B4E66"/>
    <w:rsid w:val="008B5714"/>
    <w:rsid w:val="008B5DD5"/>
    <w:rsid w:val="008C24BA"/>
    <w:rsid w:val="008C2FBC"/>
    <w:rsid w:val="008C43B9"/>
    <w:rsid w:val="008C66C6"/>
    <w:rsid w:val="008C743E"/>
    <w:rsid w:val="008C75AC"/>
    <w:rsid w:val="008C7A41"/>
    <w:rsid w:val="008C7CFE"/>
    <w:rsid w:val="008D1A36"/>
    <w:rsid w:val="008D206C"/>
    <w:rsid w:val="008D220A"/>
    <w:rsid w:val="008D22B8"/>
    <w:rsid w:val="008D280C"/>
    <w:rsid w:val="008D2AE4"/>
    <w:rsid w:val="008D4360"/>
    <w:rsid w:val="008D4464"/>
    <w:rsid w:val="008D4874"/>
    <w:rsid w:val="008D5C07"/>
    <w:rsid w:val="008D6CF3"/>
    <w:rsid w:val="008E21A4"/>
    <w:rsid w:val="008E4F40"/>
    <w:rsid w:val="008E6C41"/>
    <w:rsid w:val="008E76A2"/>
    <w:rsid w:val="008F3DFE"/>
    <w:rsid w:val="008F5F5C"/>
    <w:rsid w:val="008F679C"/>
    <w:rsid w:val="00900463"/>
    <w:rsid w:val="00900875"/>
    <w:rsid w:val="009012DE"/>
    <w:rsid w:val="00901CA7"/>
    <w:rsid w:val="0090251F"/>
    <w:rsid w:val="00902A3C"/>
    <w:rsid w:val="00905353"/>
    <w:rsid w:val="009058E7"/>
    <w:rsid w:val="00905B9A"/>
    <w:rsid w:val="009114F9"/>
    <w:rsid w:val="00912499"/>
    <w:rsid w:val="009132E5"/>
    <w:rsid w:val="00913808"/>
    <w:rsid w:val="00913BA1"/>
    <w:rsid w:val="00916219"/>
    <w:rsid w:val="00920240"/>
    <w:rsid w:val="00920984"/>
    <w:rsid w:val="00920F46"/>
    <w:rsid w:val="0092120F"/>
    <w:rsid w:val="00923306"/>
    <w:rsid w:val="00923932"/>
    <w:rsid w:val="00927D86"/>
    <w:rsid w:val="00930460"/>
    <w:rsid w:val="009317A4"/>
    <w:rsid w:val="00933188"/>
    <w:rsid w:val="0093410D"/>
    <w:rsid w:val="00936C4E"/>
    <w:rsid w:val="00936E15"/>
    <w:rsid w:val="00936E20"/>
    <w:rsid w:val="0094157E"/>
    <w:rsid w:val="00942004"/>
    <w:rsid w:val="00942624"/>
    <w:rsid w:val="00946C2F"/>
    <w:rsid w:val="00947992"/>
    <w:rsid w:val="00950888"/>
    <w:rsid w:val="00952449"/>
    <w:rsid w:val="00953841"/>
    <w:rsid w:val="00953DB9"/>
    <w:rsid w:val="0095412B"/>
    <w:rsid w:val="0096012B"/>
    <w:rsid w:val="00960342"/>
    <w:rsid w:val="009620C8"/>
    <w:rsid w:val="00964479"/>
    <w:rsid w:val="00965A3D"/>
    <w:rsid w:val="00965D28"/>
    <w:rsid w:val="00966E5D"/>
    <w:rsid w:val="009706B5"/>
    <w:rsid w:val="00970AD2"/>
    <w:rsid w:val="009724CC"/>
    <w:rsid w:val="00972C6A"/>
    <w:rsid w:val="009762BE"/>
    <w:rsid w:val="00976CEC"/>
    <w:rsid w:val="00980D45"/>
    <w:rsid w:val="0098169D"/>
    <w:rsid w:val="00981D86"/>
    <w:rsid w:val="009821D9"/>
    <w:rsid w:val="00982AF6"/>
    <w:rsid w:val="00984CDC"/>
    <w:rsid w:val="00984D20"/>
    <w:rsid w:val="0098646F"/>
    <w:rsid w:val="00986B6A"/>
    <w:rsid w:val="009909CD"/>
    <w:rsid w:val="0099274B"/>
    <w:rsid w:val="00992BC7"/>
    <w:rsid w:val="009941B8"/>
    <w:rsid w:val="00994383"/>
    <w:rsid w:val="00995335"/>
    <w:rsid w:val="00995AAE"/>
    <w:rsid w:val="009966EA"/>
    <w:rsid w:val="00996803"/>
    <w:rsid w:val="009A1570"/>
    <w:rsid w:val="009A2EF8"/>
    <w:rsid w:val="009A4775"/>
    <w:rsid w:val="009A4B89"/>
    <w:rsid w:val="009A623E"/>
    <w:rsid w:val="009B0BFA"/>
    <w:rsid w:val="009B20D0"/>
    <w:rsid w:val="009B26AB"/>
    <w:rsid w:val="009B2DCE"/>
    <w:rsid w:val="009B2E7B"/>
    <w:rsid w:val="009B3570"/>
    <w:rsid w:val="009B427E"/>
    <w:rsid w:val="009B6FA2"/>
    <w:rsid w:val="009B776B"/>
    <w:rsid w:val="009C0703"/>
    <w:rsid w:val="009C0EA3"/>
    <w:rsid w:val="009C0F3B"/>
    <w:rsid w:val="009C12A4"/>
    <w:rsid w:val="009C1634"/>
    <w:rsid w:val="009C1F51"/>
    <w:rsid w:val="009C21BD"/>
    <w:rsid w:val="009C2775"/>
    <w:rsid w:val="009C489D"/>
    <w:rsid w:val="009C50C7"/>
    <w:rsid w:val="009C5D2D"/>
    <w:rsid w:val="009C71D1"/>
    <w:rsid w:val="009D1CBF"/>
    <w:rsid w:val="009D2779"/>
    <w:rsid w:val="009D2F10"/>
    <w:rsid w:val="009D4305"/>
    <w:rsid w:val="009D4FAA"/>
    <w:rsid w:val="009D690E"/>
    <w:rsid w:val="009E1DF0"/>
    <w:rsid w:val="009E4658"/>
    <w:rsid w:val="009E4A48"/>
    <w:rsid w:val="009E710E"/>
    <w:rsid w:val="009E729F"/>
    <w:rsid w:val="009F0C94"/>
    <w:rsid w:val="009F14DA"/>
    <w:rsid w:val="009F3190"/>
    <w:rsid w:val="009F5085"/>
    <w:rsid w:val="009F5DFA"/>
    <w:rsid w:val="00A00D3F"/>
    <w:rsid w:val="00A00EED"/>
    <w:rsid w:val="00A0196F"/>
    <w:rsid w:val="00A019B1"/>
    <w:rsid w:val="00A032E9"/>
    <w:rsid w:val="00A035A5"/>
    <w:rsid w:val="00A0403E"/>
    <w:rsid w:val="00A04B93"/>
    <w:rsid w:val="00A05FFC"/>
    <w:rsid w:val="00A10817"/>
    <w:rsid w:val="00A11B3F"/>
    <w:rsid w:val="00A11B6A"/>
    <w:rsid w:val="00A14C7B"/>
    <w:rsid w:val="00A17B1C"/>
    <w:rsid w:val="00A20A2E"/>
    <w:rsid w:val="00A232FF"/>
    <w:rsid w:val="00A23B5E"/>
    <w:rsid w:val="00A2526B"/>
    <w:rsid w:val="00A27652"/>
    <w:rsid w:val="00A31FF8"/>
    <w:rsid w:val="00A341E4"/>
    <w:rsid w:val="00A346EB"/>
    <w:rsid w:val="00A35CAD"/>
    <w:rsid w:val="00A36899"/>
    <w:rsid w:val="00A40308"/>
    <w:rsid w:val="00A40A41"/>
    <w:rsid w:val="00A40C1C"/>
    <w:rsid w:val="00A425B5"/>
    <w:rsid w:val="00A42803"/>
    <w:rsid w:val="00A439C1"/>
    <w:rsid w:val="00A439E3"/>
    <w:rsid w:val="00A44547"/>
    <w:rsid w:val="00A44F85"/>
    <w:rsid w:val="00A473D5"/>
    <w:rsid w:val="00A515EE"/>
    <w:rsid w:val="00A528E5"/>
    <w:rsid w:val="00A52909"/>
    <w:rsid w:val="00A5449E"/>
    <w:rsid w:val="00A547FB"/>
    <w:rsid w:val="00A54828"/>
    <w:rsid w:val="00A57C65"/>
    <w:rsid w:val="00A60FDB"/>
    <w:rsid w:val="00A612E8"/>
    <w:rsid w:val="00A663FC"/>
    <w:rsid w:val="00A67868"/>
    <w:rsid w:val="00A7033D"/>
    <w:rsid w:val="00A7186F"/>
    <w:rsid w:val="00A747BA"/>
    <w:rsid w:val="00A7481C"/>
    <w:rsid w:val="00A7532A"/>
    <w:rsid w:val="00A75DCA"/>
    <w:rsid w:val="00A770CE"/>
    <w:rsid w:val="00A8109D"/>
    <w:rsid w:val="00A8273B"/>
    <w:rsid w:val="00A84FD5"/>
    <w:rsid w:val="00A850ED"/>
    <w:rsid w:val="00A85434"/>
    <w:rsid w:val="00A85AA5"/>
    <w:rsid w:val="00A86254"/>
    <w:rsid w:val="00A90DD1"/>
    <w:rsid w:val="00AA0428"/>
    <w:rsid w:val="00AA0E5A"/>
    <w:rsid w:val="00AA1EF8"/>
    <w:rsid w:val="00AA295E"/>
    <w:rsid w:val="00AA2C1C"/>
    <w:rsid w:val="00AA383E"/>
    <w:rsid w:val="00AA46CE"/>
    <w:rsid w:val="00AA5939"/>
    <w:rsid w:val="00AA5FA5"/>
    <w:rsid w:val="00AA73E2"/>
    <w:rsid w:val="00AB07E5"/>
    <w:rsid w:val="00AB0FE5"/>
    <w:rsid w:val="00AB16FD"/>
    <w:rsid w:val="00AB1752"/>
    <w:rsid w:val="00AB230C"/>
    <w:rsid w:val="00AB24F9"/>
    <w:rsid w:val="00AB3C47"/>
    <w:rsid w:val="00AB3DC3"/>
    <w:rsid w:val="00AB40A0"/>
    <w:rsid w:val="00AB4495"/>
    <w:rsid w:val="00AB4ED5"/>
    <w:rsid w:val="00AB50C3"/>
    <w:rsid w:val="00AB5D30"/>
    <w:rsid w:val="00AB68C9"/>
    <w:rsid w:val="00AC007A"/>
    <w:rsid w:val="00AC0BA5"/>
    <w:rsid w:val="00AC0E0D"/>
    <w:rsid w:val="00AC4CFC"/>
    <w:rsid w:val="00AC4FD5"/>
    <w:rsid w:val="00AC6DBC"/>
    <w:rsid w:val="00AC7181"/>
    <w:rsid w:val="00AC786D"/>
    <w:rsid w:val="00AD0594"/>
    <w:rsid w:val="00AD09C5"/>
    <w:rsid w:val="00AD118D"/>
    <w:rsid w:val="00AD1804"/>
    <w:rsid w:val="00AD2264"/>
    <w:rsid w:val="00AD237A"/>
    <w:rsid w:val="00AD325E"/>
    <w:rsid w:val="00AD32B0"/>
    <w:rsid w:val="00AD32BC"/>
    <w:rsid w:val="00AD35D8"/>
    <w:rsid w:val="00AD4AFA"/>
    <w:rsid w:val="00AD5B13"/>
    <w:rsid w:val="00AD6F2E"/>
    <w:rsid w:val="00AD6FC3"/>
    <w:rsid w:val="00AE15DF"/>
    <w:rsid w:val="00AE17D1"/>
    <w:rsid w:val="00AE1BC9"/>
    <w:rsid w:val="00AE1EF7"/>
    <w:rsid w:val="00AE26CD"/>
    <w:rsid w:val="00AE281E"/>
    <w:rsid w:val="00AE4160"/>
    <w:rsid w:val="00AE57DF"/>
    <w:rsid w:val="00AE6FFF"/>
    <w:rsid w:val="00AE749E"/>
    <w:rsid w:val="00AE7B2F"/>
    <w:rsid w:val="00AE7C7E"/>
    <w:rsid w:val="00AF16F6"/>
    <w:rsid w:val="00AF2720"/>
    <w:rsid w:val="00AF3D09"/>
    <w:rsid w:val="00AF5D51"/>
    <w:rsid w:val="00AF7880"/>
    <w:rsid w:val="00B0079E"/>
    <w:rsid w:val="00B01C9C"/>
    <w:rsid w:val="00B01CFB"/>
    <w:rsid w:val="00B020F8"/>
    <w:rsid w:val="00B03A41"/>
    <w:rsid w:val="00B045A2"/>
    <w:rsid w:val="00B05134"/>
    <w:rsid w:val="00B06D26"/>
    <w:rsid w:val="00B10E5E"/>
    <w:rsid w:val="00B12D80"/>
    <w:rsid w:val="00B14227"/>
    <w:rsid w:val="00B154A5"/>
    <w:rsid w:val="00B16FDA"/>
    <w:rsid w:val="00B238E6"/>
    <w:rsid w:val="00B240F3"/>
    <w:rsid w:val="00B2412A"/>
    <w:rsid w:val="00B24415"/>
    <w:rsid w:val="00B24EA7"/>
    <w:rsid w:val="00B25290"/>
    <w:rsid w:val="00B2549C"/>
    <w:rsid w:val="00B25FE5"/>
    <w:rsid w:val="00B260E2"/>
    <w:rsid w:val="00B264AC"/>
    <w:rsid w:val="00B2788E"/>
    <w:rsid w:val="00B27A3D"/>
    <w:rsid w:val="00B31F8D"/>
    <w:rsid w:val="00B32D48"/>
    <w:rsid w:val="00B3300A"/>
    <w:rsid w:val="00B33028"/>
    <w:rsid w:val="00B3679E"/>
    <w:rsid w:val="00B370CC"/>
    <w:rsid w:val="00B376F1"/>
    <w:rsid w:val="00B37AB2"/>
    <w:rsid w:val="00B408A0"/>
    <w:rsid w:val="00B426AA"/>
    <w:rsid w:val="00B44E00"/>
    <w:rsid w:val="00B47433"/>
    <w:rsid w:val="00B47D4E"/>
    <w:rsid w:val="00B5000C"/>
    <w:rsid w:val="00B52848"/>
    <w:rsid w:val="00B52D92"/>
    <w:rsid w:val="00B52EBE"/>
    <w:rsid w:val="00B54093"/>
    <w:rsid w:val="00B54A1F"/>
    <w:rsid w:val="00B550A2"/>
    <w:rsid w:val="00B55957"/>
    <w:rsid w:val="00B5747B"/>
    <w:rsid w:val="00B57E36"/>
    <w:rsid w:val="00B60470"/>
    <w:rsid w:val="00B607AB"/>
    <w:rsid w:val="00B60CE6"/>
    <w:rsid w:val="00B64366"/>
    <w:rsid w:val="00B65A50"/>
    <w:rsid w:val="00B67564"/>
    <w:rsid w:val="00B67576"/>
    <w:rsid w:val="00B67D90"/>
    <w:rsid w:val="00B70C3A"/>
    <w:rsid w:val="00B73399"/>
    <w:rsid w:val="00B73B4B"/>
    <w:rsid w:val="00B74341"/>
    <w:rsid w:val="00B74724"/>
    <w:rsid w:val="00B75694"/>
    <w:rsid w:val="00B778BF"/>
    <w:rsid w:val="00B847F3"/>
    <w:rsid w:val="00B8491E"/>
    <w:rsid w:val="00B858F2"/>
    <w:rsid w:val="00B868EC"/>
    <w:rsid w:val="00B8764C"/>
    <w:rsid w:val="00B87D77"/>
    <w:rsid w:val="00B90445"/>
    <w:rsid w:val="00B91719"/>
    <w:rsid w:val="00B950B7"/>
    <w:rsid w:val="00B96686"/>
    <w:rsid w:val="00B96CAC"/>
    <w:rsid w:val="00B97474"/>
    <w:rsid w:val="00B97A58"/>
    <w:rsid w:val="00BA1141"/>
    <w:rsid w:val="00BA48AF"/>
    <w:rsid w:val="00BA51D8"/>
    <w:rsid w:val="00BA59D6"/>
    <w:rsid w:val="00BA630F"/>
    <w:rsid w:val="00BA6581"/>
    <w:rsid w:val="00BB04F8"/>
    <w:rsid w:val="00BB056C"/>
    <w:rsid w:val="00BB06BF"/>
    <w:rsid w:val="00BB0FA3"/>
    <w:rsid w:val="00BB2448"/>
    <w:rsid w:val="00BB247C"/>
    <w:rsid w:val="00BB441D"/>
    <w:rsid w:val="00BB54A4"/>
    <w:rsid w:val="00BB637F"/>
    <w:rsid w:val="00BC0B4C"/>
    <w:rsid w:val="00BC2B36"/>
    <w:rsid w:val="00BC3061"/>
    <w:rsid w:val="00BC3E74"/>
    <w:rsid w:val="00BC425D"/>
    <w:rsid w:val="00BC4E03"/>
    <w:rsid w:val="00BC4FF3"/>
    <w:rsid w:val="00BC7289"/>
    <w:rsid w:val="00BD02BF"/>
    <w:rsid w:val="00BD0ED3"/>
    <w:rsid w:val="00BD59DE"/>
    <w:rsid w:val="00BD5F3A"/>
    <w:rsid w:val="00BD5F64"/>
    <w:rsid w:val="00BD6D4E"/>
    <w:rsid w:val="00BD6E6C"/>
    <w:rsid w:val="00BD7B17"/>
    <w:rsid w:val="00BE06D3"/>
    <w:rsid w:val="00BE0F3A"/>
    <w:rsid w:val="00BE14C9"/>
    <w:rsid w:val="00BE1A1C"/>
    <w:rsid w:val="00BE1D3A"/>
    <w:rsid w:val="00BE21D5"/>
    <w:rsid w:val="00BE256A"/>
    <w:rsid w:val="00BE5CFF"/>
    <w:rsid w:val="00BE684B"/>
    <w:rsid w:val="00BE75E7"/>
    <w:rsid w:val="00BE7A61"/>
    <w:rsid w:val="00BF047C"/>
    <w:rsid w:val="00BF05BB"/>
    <w:rsid w:val="00BF205D"/>
    <w:rsid w:val="00BF231B"/>
    <w:rsid w:val="00BF2552"/>
    <w:rsid w:val="00BF419C"/>
    <w:rsid w:val="00BF4C07"/>
    <w:rsid w:val="00BF5322"/>
    <w:rsid w:val="00BF58E9"/>
    <w:rsid w:val="00C02521"/>
    <w:rsid w:val="00C036A4"/>
    <w:rsid w:val="00C05407"/>
    <w:rsid w:val="00C0559B"/>
    <w:rsid w:val="00C0722B"/>
    <w:rsid w:val="00C1000C"/>
    <w:rsid w:val="00C11B2A"/>
    <w:rsid w:val="00C129F5"/>
    <w:rsid w:val="00C14561"/>
    <w:rsid w:val="00C145D9"/>
    <w:rsid w:val="00C15347"/>
    <w:rsid w:val="00C16913"/>
    <w:rsid w:val="00C1754B"/>
    <w:rsid w:val="00C17AA5"/>
    <w:rsid w:val="00C20A42"/>
    <w:rsid w:val="00C22F95"/>
    <w:rsid w:val="00C22FDA"/>
    <w:rsid w:val="00C23B6E"/>
    <w:rsid w:val="00C24832"/>
    <w:rsid w:val="00C253D6"/>
    <w:rsid w:val="00C2573F"/>
    <w:rsid w:val="00C2589F"/>
    <w:rsid w:val="00C26922"/>
    <w:rsid w:val="00C31F9A"/>
    <w:rsid w:val="00C327C5"/>
    <w:rsid w:val="00C33070"/>
    <w:rsid w:val="00C334B5"/>
    <w:rsid w:val="00C3363C"/>
    <w:rsid w:val="00C34279"/>
    <w:rsid w:val="00C34E89"/>
    <w:rsid w:val="00C3539E"/>
    <w:rsid w:val="00C36478"/>
    <w:rsid w:val="00C409E2"/>
    <w:rsid w:val="00C40EBC"/>
    <w:rsid w:val="00C44CD7"/>
    <w:rsid w:val="00C47580"/>
    <w:rsid w:val="00C4791F"/>
    <w:rsid w:val="00C504A8"/>
    <w:rsid w:val="00C5404D"/>
    <w:rsid w:val="00C555F7"/>
    <w:rsid w:val="00C56550"/>
    <w:rsid w:val="00C57135"/>
    <w:rsid w:val="00C57797"/>
    <w:rsid w:val="00C57F19"/>
    <w:rsid w:val="00C61FF6"/>
    <w:rsid w:val="00C62636"/>
    <w:rsid w:val="00C63046"/>
    <w:rsid w:val="00C6344E"/>
    <w:rsid w:val="00C6614F"/>
    <w:rsid w:val="00C66639"/>
    <w:rsid w:val="00C67441"/>
    <w:rsid w:val="00C674D8"/>
    <w:rsid w:val="00C70105"/>
    <w:rsid w:val="00C70EBE"/>
    <w:rsid w:val="00C71C3E"/>
    <w:rsid w:val="00C74A4F"/>
    <w:rsid w:val="00C76918"/>
    <w:rsid w:val="00C7701A"/>
    <w:rsid w:val="00C77124"/>
    <w:rsid w:val="00C77F64"/>
    <w:rsid w:val="00C80147"/>
    <w:rsid w:val="00C8357E"/>
    <w:rsid w:val="00C8426A"/>
    <w:rsid w:val="00C8492C"/>
    <w:rsid w:val="00C86110"/>
    <w:rsid w:val="00C862B1"/>
    <w:rsid w:val="00C862CD"/>
    <w:rsid w:val="00C8786F"/>
    <w:rsid w:val="00C90028"/>
    <w:rsid w:val="00C9016D"/>
    <w:rsid w:val="00C905C7"/>
    <w:rsid w:val="00C9328D"/>
    <w:rsid w:val="00C93A0B"/>
    <w:rsid w:val="00C94097"/>
    <w:rsid w:val="00C942EA"/>
    <w:rsid w:val="00C949D4"/>
    <w:rsid w:val="00C94B87"/>
    <w:rsid w:val="00C95092"/>
    <w:rsid w:val="00C9515E"/>
    <w:rsid w:val="00C95730"/>
    <w:rsid w:val="00C95B67"/>
    <w:rsid w:val="00C976B3"/>
    <w:rsid w:val="00C97FA1"/>
    <w:rsid w:val="00CA145A"/>
    <w:rsid w:val="00CA1A61"/>
    <w:rsid w:val="00CA2BFA"/>
    <w:rsid w:val="00CA544E"/>
    <w:rsid w:val="00CA55F0"/>
    <w:rsid w:val="00CA56CC"/>
    <w:rsid w:val="00CA6ECA"/>
    <w:rsid w:val="00CB0C33"/>
    <w:rsid w:val="00CB1483"/>
    <w:rsid w:val="00CB1C7D"/>
    <w:rsid w:val="00CB3EF8"/>
    <w:rsid w:val="00CB4981"/>
    <w:rsid w:val="00CB528F"/>
    <w:rsid w:val="00CB53F6"/>
    <w:rsid w:val="00CB5C40"/>
    <w:rsid w:val="00CB6966"/>
    <w:rsid w:val="00CB6B81"/>
    <w:rsid w:val="00CB6E56"/>
    <w:rsid w:val="00CB7DF2"/>
    <w:rsid w:val="00CC0469"/>
    <w:rsid w:val="00CC092A"/>
    <w:rsid w:val="00CC0AD4"/>
    <w:rsid w:val="00CC3266"/>
    <w:rsid w:val="00CC39AD"/>
    <w:rsid w:val="00CC39D0"/>
    <w:rsid w:val="00CC4172"/>
    <w:rsid w:val="00CC567A"/>
    <w:rsid w:val="00CC761A"/>
    <w:rsid w:val="00CD0C7B"/>
    <w:rsid w:val="00CD23D7"/>
    <w:rsid w:val="00CD2A8F"/>
    <w:rsid w:val="00CD2BB5"/>
    <w:rsid w:val="00CD30D0"/>
    <w:rsid w:val="00CD3B54"/>
    <w:rsid w:val="00CD5570"/>
    <w:rsid w:val="00CD5C7E"/>
    <w:rsid w:val="00CD673B"/>
    <w:rsid w:val="00CD6E73"/>
    <w:rsid w:val="00CD7CC8"/>
    <w:rsid w:val="00CE171A"/>
    <w:rsid w:val="00CE4257"/>
    <w:rsid w:val="00CE7E8C"/>
    <w:rsid w:val="00CF0FD5"/>
    <w:rsid w:val="00CF36BD"/>
    <w:rsid w:val="00CF4384"/>
    <w:rsid w:val="00CF4488"/>
    <w:rsid w:val="00CF46FD"/>
    <w:rsid w:val="00D03AB0"/>
    <w:rsid w:val="00D04AA3"/>
    <w:rsid w:val="00D05AA5"/>
    <w:rsid w:val="00D10BD5"/>
    <w:rsid w:val="00D1150E"/>
    <w:rsid w:val="00D11C94"/>
    <w:rsid w:val="00D14250"/>
    <w:rsid w:val="00D14EAE"/>
    <w:rsid w:val="00D153EA"/>
    <w:rsid w:val="00D16D82"/>
    <w:rsid w:val="00D2158A"/>
    <w:rsid w:val="00D22359"/>
    <w:rsid w:val="00D227AD"/>
    <w:rsid w:val="00D23941"/>
    <w:rsid w:val="00D24083"/>
    <w:rsid w:val="00D24CB9"/>
    <w:rsid w:val="00D25ADE"/>
    <w:rsid w:val="00D305FF"/>
    <w:rsid w:val="00D315CA"/>
    <w:rsid w:val="00D31979"/>
    <w:rsid w:val="00D32AF6"/>
    <w:rsid w:val="00D3626C"/>
    <w:rsid w:val="00D36984"/>
    <w:rsid w:val="00D36BF9"/>
    <w:rsid w:val="00D3713F"/>
    <w:rsid w:val="00D4068E"/>
    <w:rsid w:val="00D42AC7"/>
    <w:rsid w:val="00D4395A"/>
    <w:rsid w:val="00D43AFC"/>
    <w:rsid w:val="00D45E5E"/>
    <w:rsid w:val="00D4633C"/>
    <w:rsid w:val="00D46F51"/>
    <w:rsid w:val="00D5063C"/>
    <w:rsid w:val="00D508CC"/>
    <w:rsid w:val="00D51DD4"/>
    <w:rsid w:val="00D53406"/>
    <w:rsid w:val="00D55948"/>
    <w:rsid w:val="00D562D6"/>
    <w:rsid w:val="00D56DC6"/>
    <w:rsid w:val="00D60670"/>
    <w:rsid w:val="00D6219C"/>
    <w:rsid w:val="00D6725B"/>
    <w:rsid w:val="00D701C7"/>
    <w:rsid w:val="00D7035B"/>
    <w:rsid w:val="00D71AA6"/>
    <w:rsid w:val="00D723E3"/>
    <w:rsid w:val="00D73B77"/>
    <w:rsid w:val="00D73C99"/>
    <w:rsid w:val="00D73CE0"/>
    <w:rsid w:val="00D7423C"/>
    <w:rsid w:val="00D7491A"/>
    <w:rsid w:val="00D75A1B"/>
    <w:rsid w:val="00D772E1"/>
    <w:rsid w:val="00D8236D"/>
    <w:rsid w:val="00D82434"/>
    <w:rsid w:val="00D82663"/>
    <w:rsid w:val="00D8275C"/>
    <w:rsid w:val="00D83EF5"/>
    <w:rsid w:val="00D84882"/>
    <w:rsid w:val="00D85043"/>
    <w:rsid w:val="00D857BA"/>
    <w:rsid w:val="00D85BC8"/>
    <w:rsid w:val="00D85F97"/>
    <w:rsid w:val="00D900F0"/>
    <w:rsid w:val="00D90C34"/>
    <w:rsid w:val="00D933DC"/>
    <w:rsid w:val="00D960DE"/>
    <w:rsid w:val="00D97F4A"/>
    <w:rsid w:val="00DA02C7"/>
    <w:rsid w:val="00DA0DF7"/>
    <w:rsid w:val="00DA238D"/>
    <w:rsid w:val="00DA244F"/>
    <w:rsid w:val="00DA24AE"/>
    <w:rsid w:val="00DA2645"/>
    <w:rsid w:val="00DA6C10"/>
    <w:rsid w:val="00DA7A08"/>
    <w:rsid w:val="00DB0594"/>
    <w:rsid w:val="00DB102F"/>
    <w:rsid w:val="00DB21AC"/>
    <w:rsid w:val="00DB3B87"/>
    <w:rsid w:val="00DB3BA6"/>
    <w:rsid w:val="00DB4108"/>
    <w:rsid w:val="00DB579D"/>
    <w:rsid w:val="00DB7D57"/>
    <w:rsid w:val="00DC01A1"/>
    <w:rsid w:val="00DC2CE0"/>
    <w:rsid w:val="00DC4223"/>
    <w:rsid w:val="00DC56A9"/>
    <w:rsid w:val="00DC76C3"/>
    <w:rsid w:val="00DD0030"/>
    <w:rsid w:val="00DD0262"/>
    <w:rsid w:val="00DD0982"/>
    <w:rsid w:val="00DD19A0"/>
    <w:rsid w:val="00DD1A11"/>
    <w:rsid w:val="00DD3ADE"/>
    <w:rsid w:val="00DD3B1E"/>
    <w:rsid w:val="00DD429B"/>
    <w:rsid w:val="00DD46B7"/>
    <w:rsid w:val="00DD62C8"/>
    <w:rsid w:val="00DD634F"/>
    <w:rsid w:val="00DD71B4"/>
    <w:rsid w:val="00DD7EC0"/>
    <w:rsid w:val="00DE22B6"/>
    <w:rsid w:val="00DE267C"/>
    <w:rsid w:val="00DE3184"/>
    <w:rsid w:val="00DE5054"/>
    <w:rsid w:val="00DE675F"/>
    <w:rsid w:val="00DE6C88"/>
    <w:rsid w:val="00DF099D"/>
    <w:rsid w:val="00DF0AE4"/>
    <w:rsid w:val="00DF13BA"/>
    <w:rsid w:val="00DF28D6"/>
    <w:rsid w:val="00DF4F6C"/>
    <w:rsid w:val="00DF56E4"/>
    <w:rsid w:val="00DF5E27"/>
    <w:rsid w:val="00DF622B"/>
    <w:rsid w:val="00DF7D0B"/>
    <w:rsid w:val="00E00858"/>
    <w:rsid w:val="00E00F48"/>
    <w:rsid w:val="00E0198C"/>
    <w:rsid w:val="00E03044"/>
    <w:rsid w:val="00E04149"/>
    <w:rsid w:val="00E06149"/>
    <w:rsid w:val="00E129E4"/>
    <w:rsid w:val="00E12BEE"/>
    <w:rsid w:val="00E14E34"/>
    <w:rsid w:val="00E17ABB"/>
    <w:rsid w:val="00E17C0B"/>
    <w:rsid w:val="00E211B6"/>
    <w:rsid w:val="00E23C67"/>
    <w:rsid w:val="00E255BF"/>
    <w:rsid w:val="00E25AD3"/>
    <w:rsid w:val="00E260FD"/>
    <w:rsid w:val="00E272E6"/>
    <w:rsid w:val="00E311B7"/>
    <w:rsid w:val="00E31933"/>
    <w:rsid w:val="00E33462"/>
    <w:rsid w:val="00E3393D"/>
    <w:rsid w:val="00E34D17"/>
    <w:rsid w:val="00E35660"/>
    <w:rsid w:val="00E35F85"/>
    <w:rsid w:val="00E4033B"/>
    <w:rsid w:val="00E4147D"/>
    <w:rsid w:val="00E42656"/>
    <w:rsid w:val="00E42DC1"/>
    <w:rsid w:val="00E45DD5"/>
    <w:rsid w:val="00E46512"/>
    <w:rsid w:val="00E466C5"/>
    <w:rsid w:val="00E50890"/>
    <w:rsid w:val="00E51DAA"/>
    <w:rsid w:val="00E51E57"/>
    <w:rsid w:val="00E52420"/>
    <w:rsid w:val="00E52511"/>
    <w:rsid w:val="00E5287D"/>
    <w:rsid w:val="00E52AFE"/>
    <w:rsid w:val="00E5373A"/>
    <w:rsid w:val="00E54A98"/>
    <w:rsid w:val="00E5527F"/>
    <w:rsid w:val="00E56D89"/>
    <w:rsid w:val="00E578F1"/>
    <w:rsid w:val="00E60228"/>
    <w:rsid w:val="00E60771"/>
    <w:rsid w:val="00E632D4"/>
    <w:rsid w:val="00E63C82"/>
    <w:rsid w:val="00E64467"/>
    <w:rsid w:val="00E64F7B"/>
    <w:rsid w:val="00E65D4E"/>
    <w:rsid w:val="00E669F7"/>
    <w:rsid w:val="00E672B4"/>
    <w:rsid w:val="00E71EEF"/>
    <w:rsid w:val="00E73730"/>
    <w:rsid w:val="00E75040"/>
    <w:rsid w:val="00E75F75"/>
    <w:rsid w:val="00E7631B"/>
    <w:rsid w:val="00E83EA9"/>
    <w:rsid w:val="00E8516A"/>
    <w:rsid w:val="00E86950"/>
    <w:rsid w:val="00E87585"/>
    <w:rsid w:val="00E92BFE"/>
    <w:rsid w:val="00E930A4"/>
    <w:rsid w:val="00E94043"/>
    <w:rsid w:val="00E94C03"/>
    <w:rsid w:val="00E96A27"/>
    <w:rsid w:val="00E97C08"/>
    <w:rsid w:val="00EA3B9D"/>
    <w:rsid w:val="00EA4433"/>
    <w:rsid w:val="00EA52B3"/>
    <w:rsid w:val="00EA75E5"/>
    <w:rsid w:val="00EB139D"/>
    <w:rsid w:val="00EB2183"/>
    <w:rsid w:val="00EB2495"/>
    <w:rsid w:val="00EB3698"/>
    <w:rsid w:val="00EB538B"/>
    <w:rsid w:val="00EC0602"/>
    <w:rsid w:val="00EC16D1"/>
    <w:rsid w:val="00EC17C0"/>
    <w:rsid w:val="00EC2050"/>
    <w:rsid w:val="00EC2162"/>
    <w:rsid w:val="00EC31D7"/>
    <w:rsid w:val="00EC5E4F"/>
    <w:rsid w:val="00EC6012"/>
    <w:rsid w:val="00EC69DA"/>
    <w:rsid w:val="00EC6FD7"/>
    <w:rsid w:val="00ED22AC"/>
    <w:rsid w:val="00ED44E3"/>
    <w:rsid w:val="00ED53C0"/>
    <w:rsid w:val="00ED7256"/>
    <w:rsid w:val="00ED7B1B"/>
    <w:rsid w:val="00ED7D00"/>
    <w:rsid w:val="00EE108F"/>
    <w:rsid w:val="00EE17E4"/>
    <w:rsid w:val="00EE3FC7"/>
    <w:rsid w:val="00EE6D9A"/>
    <w:rsid w:val="00EE71F7"/>
    <w:rsid w:val="00EF118B"/>
    <w:rsid w:val="00EF40FD"/>
    <w:rsid w:val="00EF5E8B"/>
    <w:rsid w:val="00EF681D"/>
    <w:rsid w:val="00EF74A4"/>
    <w:rsid w:val="00F00008"/>
    <w:rsid w:val="00F0084B"/>
    <w:rsid w:val="00F01A2A"/>
    <w:rsid w:val="00F037BB"/>
    <w:rsid w:val="00F05B05"/>
    <w:rsid w:val="00F05C7D"/>
    <w:rsid w:val="00F103C3"/>
    <w:rsid w:val="00F11831"/>
    <w:rsid w:val="00F137A4"/>
    <w:rsid w:val="00F13EF6"/>
    <w:rsid w:val="00F1477D"/>
    <w:rsid w:val="00F147D0"/>
    <w:rsid w:val="00F14872"/>
    <w:rsid w:val="00F14A77"/>
    <w:rsid w:val="00F15591"/>
    <w:rsid w:val="00F20E89"/>
    <w:rsid w:val="00F20FB0"/>
    <w:rsid w:val="00F225FC"/>
    <w:rsid w:val="00F23845"/>
    <w:rsid w:val="00F2387C"/>
    <w:rsid w:val="00F2390A"/>
    <w:rsid w:val="00F25A1E"/>
    <w:rsid w:val="00F26437"/>
    <w:rsid w:val="00F26F3E"/>
    <w:rsid w:val="00F30441"/>
    <w:rsid w:val="00F333D5"/>
    <w:rsid w:val="00F33DD6"/>
    <w:rsid w:val="00F3489F"/>
    <w:rsid w:val="00F366E3"/>
    <w:rsid w:val="00F36D1C"/>
    <w:rsid w:val="00F439D6"/>
    <w:rsid w:val="00F43D97"/>
    <w:rsid w:val="00F43F19"/>
    <w:rsid w:val="00F45CA4"/>
    <w:rsid w:val="00F45E1B"/>
    <w:rsid w:val="00F46469"/>
    <w:rsid w:val="00F47488"/>
    <w:rsid w:val="00F47687"/>
    <w:rsid w:val="00F51B24"/>
    <w:rsid w:val="00F5263D"/>
    <w:rsid w:val="00F53774"/>
    <w:rsid w:val="00F54B6E"/>
    <w:rsid w:val="00F54BEA"/>
    <w:rsid w:val="00F54C9D"/>
    <w:rsid w:val="00F553A9"/>
    <w:rsid w:val="00F55E2A"/>
    <w:rsid w:val="00F55FB9"/>
    <w:rsid w:val="00F620F3"/>
    <w:rsid w:val="00F62284"/>
    <w:rsid w:val="00F62626"/>
    <w:rsid w:val="00F62B49"/>
    <w:rsid w:val="00F6316C"/>
    <w:rsid w:val="00F632FD"/>
    <w:rsid w:val="00F63C4E"/>
    <w:rsid w:val="00F640D4"/>
    <w:rsid w:val="00F670B6"/>
    <w:rsid w:val="00F70153"/>
    <w:rsid w:val="00F71F14"/>
    <w:rsid w:val="00F72458"/>
    <w:rsid w:val="00F72682"/>
    <w:rsid w:val="00F770AC"/>
    <w:rsid w:val="00F77F8B"/>
    <w:rsid w:val="00F80DAD"/>
    <w:rsid w:val="00F817CC"/>
    <w:rsid w:val="00F81A5E"/>
    <w:rsid w:val="00F81ACC"/>
    <w:rsid w:val="00F82218"/>
    <w:rsid w:val="00F83F9C"/>
    <w:rsid w:val="00F90C36"/>
    <w:rsid w:val="00F93694"/>
    <w:rsid w:val="00F955B1"/>
    <w:rsid w:val="00F9565A"/>
    <w:rsid w:val="00F95ACE"/>
    <w:rsid w:val="00F96037"/>
    <w:rsid w:val="00F972B4"/>
    <w:rsid w:val="00FA0B41"/>
    <w:rsid w:val="00FA5321"/>
    <w:rsid w:val="00FA5593"/>
    <w:rsid w:val="00FA67F3"/>
    <w:rsid w:val="00FA6C99"/>
    <w:rsid w:val="00FB136E"/>
    <w:rsid w:val="00FB1606"/>
    <w:rsid w:val="00FB1A5C"/>
    <w:rsid w:val="00FB2877"/>
    <w:rsid w:val="00FB2E4D"/>
    <w:rsid w:val="00FB356E"/>
    <w:rsid w:val="00FB3EF7"/>
    <w:rsid w:val="00FB52EC"/>
    <w:rsid w:val="00FB6761"/>
    <w:rsid w:val="00FB678A"/>
    <w:rsid w:val="00FC1033"/>
    <w:rsid w:val="00FC207D"/>
    <w:rsid w:val="00FC2C07"/>
    <w:rsid w:val="00FC42F2"/>
    <w:rsid w:val="00FC6143"/>
    <w:rsid w:val="00FD01FF"/>
    <w:rsid w:val="00FD4EBC"/>
    <w:rsid w:val="00FD5A3B"/>
    <w:rsid w:val="00FD6DD8"/>
    <w:rsid w:val="00FD728B"/>
    <w:rsid w:val="00FE05D1"/>
    <w:rsid w:val="00FE42C5"/>
    <w:rsid w:val="00FE50D9"/>
    <w:rsid w:val="00FE597B"/>
    <w:rsid w:val="00FE7DDC"/>
    <w:rsid w:val="00FF2DF4"/>
    <w:rsid w:val="00FF4357"/>
    <w:rsid w:val="00FF575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basedOn w:val="DefaultParagraphFont"/>
    <w:link w:val="Header"/>
    <w:uiPriority w:val="99"/>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basedOn w:val="DefaultParagraphFont"/>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basedOn w:val="DefaultParagraphFont"/>
    <w:uiPriority w:val="99"/>
    <w:rsid w:val="00B57E36"/>
    <w:rPr>
      <w:rFonts w:cs="Times New Roman"/>
    </w:rPr>
  </w:style>
  <w:style w:type="character" w:customStyle="1" w:styleId="fontettexthome">
    <w:name w:val="fontettexthome"/>
    <w:basedOn w:val="DefaultParagraphFont"/>
    <w:uiPriority w:val="99"/>
    <w:rsid w:val="00C949D4"/>
    <w:rPr>
      <w:rFonts w:cs="Times New Roman"/>
    </w:rPr>
  </w:style>
  <w:style w:type="paragraph" w:styleId="FootnoteText">
    <w:name w:val="footnote text"/>
    <w:basedOn w:val="Normal"/>
    <w:link w:val="FootnoteTextChar"/>
    <w:uiPriority w:val="99"/>
    <w:semiHidden/>
    <w:rsid w:val="0068192A"/>
    <w:pPr>
      <w:suppressAutoHyphens/>
    </w:pPr>
    <w:rPr>
      <w:sz w:val="20"/>
      <w:szCs w:val="20"/>
      <w:lang w:val="en-US" w:eastAsia="ar-SA"/>
    </w:rPr>
  </w:style>
  <w:style w:type="character" w:customStyle="1" w:styleId="FootnoteTextChar">
    <w:name w:val="Footnote Text Char"/>
    <w:basedOn w:val="DefaultParagraphFont"/>
    <w:link w:val="FootnoteText"/>
    <w:uiPriority w:val="99"/>
    <w:semiHidden/>
    <w:locked/>
    <w:rsid w:val="00EC16D1"/>
    <w:rPr>
      <w:rFonts w:cs="Times New Roman"/>
      <w:sz w:val="20"/>
      <w:szCs w:val="20"/>
      <w:lang w:val="en-GB" w:eastAsia="en-GB"/>
    </w:rPr>
  </w:style>
  <w:style w:type="character" w:styleId="FootnoteReference">
    <w:name w:val="footnote reference"/>
    <w:basedOn w:val="DefaultParagraphFont"/>
    <w:uiPriority w:val="99"/>
    <w:semiHidden/>
    <w:rsid w:val="0068192A"/>
    <w:rPr>
      <w:rFonts w:cs="Times New Roman"/>
      <w:vertAlign w:val="superscript"/>
    </w:rPr>
  </w:style>
  <w:style w:type="character" w:styleId="CommentReference">
    <w:name w:val="annotation reference"/>
    <w:basedOn w:val="DefaultParagraphFont"/>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basedOn w:val="DefaultParagraphFont"/>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basedOn w:val="CommentText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basedOn w:val="DefaultParagraphFont"/>
    <w:rsid w:val="00A44F85"/>
    <w:rPr>
      <w:rFonts w:cs="Times New Roman"/>
    </w:rPr>
  </w:style>
  <w:style w:type="character" w:customStyle="1" w:styleId="JuParaChar1">
    <w:name w:val="Ju_Para Char1"/>
    <w:basedOn w:val="DefaultParagraphFont"/>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basedOn w:val="DefaultParagraphFont"/>
    <w:uiPriority w:val="99"/>
    <w:rsid w:val="00E255BF"/>
    <w:rPr>
      <w:rFonts w:cs="Times New Roman"/>
    </w:rPr>
  </w:style>
  <w:style w:type="character" w:customStyle="1" w:styleId="JuParaChar">
    <w:name w:val="Ju_Para Char"/>
    <w:basedOn w:val="DefaultParagraphFont"/>
    <w:rsid w:val="00AB24F9"/>
    <w:rPr>
      <w:rFonts w:cs="Times New Roman"/>
      <w:sz w:val="24"/>
      <w:lang w:val="en-GB" w:eastAsia="fr-FR" w:bidi="ar-SA"/>
    </w:rPr>
  </w:style>
  <w:style w:type="character" w:customStyle="1" w:styleId="JuParaCar">
    <w:name w:val="Ju_Para Car"/>
    <w:basedOn w:val="DefaultParagraphFont"/>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rsid w:val="00143D21"/>
  </w:style>
  <w:style w:type="paragraph" w:styleId="EndnoteText">
    <w:name w:val="endnote text"/>
    <w:basedOn w:val="Normal"/>
    <w:link w:val="EndnoteTextChar"/>
    <w:uiPriority w:val="99"/>
    <w:semiHidden/>
    <w:unhideWhenUsed/>
    <w:rsid w:val="0012184F"/>
    <w:rPr>
      <w:sz w:val="20"/>
      <w:szCs w:val="20"/>
    </w:rPr>
  </w:style>
  <w:style w:type="character" w:customStyle="1" w:styleId="EndnoteTextChar">
    <w:name w:val="Endnote Text Char"/>
    <w:basedOn w:val="DefaultParagraphFont"/>
    <w:link w:val="EndnoteText"/>
    <w:uiPriority w:val="99"/>
    <w:semiHidden/>
    <w:rsid w:val="0012184F"/>
    <w:rPr>
      <w:sz w:val="20"/>
      <w:szCs w:val="20"/>
      <w:lang w:val="en-GB" w:eastAsia="en-GB"/>
    </w:rPr>
  </w:style>
  <w:style w:type="character" w:styleId="EndnoteReference">
    <w:name w:val="endnote reference"/>
    <w:basedOn w:val="DefaultParagraphFont"/>
    <w:uiPriority w:val="99"/>
    <w:semiHidden/>
    <w:unhideWhenUsed/>
    <w:rsid w:val="0012184F"/>
    <w:rPr>
      <w:vertAlign w:val="superscript"/>
    </w:rPr>
  </w:style>
  <w:style w:type="character" w:customStyle="1" w:styleId="FootnoteTextChar1">
    <w:name w:val="Footnote Text Char1"/>
    <w:uiPriority w:val="99"/>
    <w:semiHidden/>
    <w:locked/>
    <w:rsid w:val="00821BDA"/>
    <w:rPr>
      <w:lang w:eastAsia="ar-SA"/>
    </w:rPr>
  </w:style>
  <w:style w:type="character" w:styleId="Hyperlink">
    <w:name w:val="Hyperlink"/>
    <w:unhideWhenUsed/>
    <w:rsid w:val="00A54828"/>
    <w:rPr>
      <w:color w:val="0000FF"/>
      <w:u w:val="single"/>
    </w:rPr>
  </w:style>
  <w:style w:type="paragraph" w:customStyle="1" w:styleId="MediumGrid1-Accent21">
    <w:name w:val="Medium Grid 1 - Accent 21"/>
    <w:basedOn w:val="Normal"/>
    <w:uiPriority w:val="99"/>
    <w:qFormat/>
    <w:rsid w:val="00B47433"/>
    <w:pPr>
      <w:suppressAutoHyphens/>
      <w:ind w:left="720"/>
    </w:pPr>
    <w:rPr>
      <w:lang w:val="en-US" w:eastAsia="ar-SA"/>
    </w:rPr>
  </w:style>
  <w:style w:type="character" w:customStyle="1" w:styleId="s85f22697">
    <w:name w:val="s85f22697"/>
    <w:basedOn w:val="DefaultParagraphFont"/>
    <w:rsid w:val="00B47433"/>
  </w:style>
  <w:style w:type="character" w:customStyle="1" w:styleId="s7d2086b4">
    <w:name w:val="s7d2086b4"/>
    <w:basedOn w:val="DefaultParagraphFont"/>
    <w:rsid w:val="009B3570"/>
  </w:style>
  <w:style w:type="character" w:customStyle="1" w:styleId="sb8d990e2">
    <w:name w:val="sb8d990e2"/>
    <w:basedOn w:val="DefaultParagraphFont"/>
    <w:rsid w:val="00EC6FD7"/>
  </w:style>
  <w:style w:type="character" w:customStyle="1" w:styleId="s6b621b36">
    <w:name w:val="s6b621b36"/>
    <w:basedOn w:val="DefaultParagraphFont"/>
    <w:rsid w:val="00EC6FD7"/>
  </w:style>
  <w:style w:type="character" w:customStyle="1" w:styleId="wordhighlighted">
    <w:name w:val="wordhighlighted"/>
    <w:basedOn w:val="DefaultParagraphFont"/>
    <w:rsid w:val="00EC6FD7"/>
  </w:style>
  <w:style w:type="character" w:customStyle="1" w:styleId="column01">
    <w:name w:val="column01"/>
    <w:basedOn w:val="DefaultParagraphFont"/>
    <w:rsid w:val="00EC6FD7"/>
  </w:style>
  <w:style w:type="character" w:styleId="FollowedHyperlink">
    <w:name w:val="FollowedHyperlink"/>
    <w:basedOn w:val="DefaultParagraphFont"/>
    <w:uiPriority w:val="99"/>
    <w:semiHidden/>
    <w:unhideWhenUsed/>
    <w:rsid w:val="00F47687"/>
    <w:rPr>
      <w:color w:val="800080"/>
      <w:u w:val="single"/>
    </w:rPr>
  </w:style>
  <w:style w:type="paragraph" w:customStyle="1" w:styleId="JuParaCharChar">
    <w:name w:val="Ju_Para Char Char"/>
    <w:basedOn w:val="Normal"/>
    <w:link w:val="JuParaCharCharChar1"/>
    <w:rsid w:val="006F7943"/>
    <w:pPr>
      <w:suppressAutoHyphens/>
      <w:ind w:firstLine="284"/>
      <w:jc w:val="both"/>
    </w:pPr>
    <w:rPr>
      <w:szCs w:val="20"/>
      <w:lang w:eastAsia="fr-FR"/>
    </w:rPr>
  </w:style>
  <w:style w:type="character" w:customStyle="1" w:styleId="JuParaCharCharChar1">
    <w:name w:val="Ju_Para Char Char Char1"/>
    <w:link w:val="JuParaCharChar"/>
    <w:rsid w:val="006F7943"/>
    <w:rPr>
      <w:sz w:val="24"/>
      <w:szCs w:val="20"/>
      <w:lang w:val="en-GB" w:eastAsia="fr-FR"/>
    </w:rPr>
  </w:style>
  <w:style w:type="character" w:styleId="PlaceholderText">
    <w:name w:val="Placeholder Text"/>
    <w:basedOn w:val="DefaultParagraphFont"/>
    <w:uiPriority w:val="99"/>
    <w:semiHidden/>
    <w:rsid w:val="007E5B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basedOn w:val="DefaultParagraphFont"/>
    <w:link w:val="Header"/>
    <w:uiPriority w:val="99"/>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basedOn w:val="DefaultParagraphFont"/>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basedOn w:val="DefaultParagraphFont"/>
    <w:uiPriority w:val="99"/>
    <w:rsid w:val="00B57E36"/>
    <w:rPr>
      <w:rFonts w:cs="Times New Roman"/>
    </w:rPr>
  </w:style>
  <w:style w:type="character" w:customStyle="1" w:styleId="fontettexthome">
    <w:name w:val="fontettexthome"/>
    <w:basedOn w:val="DefaultParagraphFont"/>
    <w:uiPriority w:val="99"/>
    <w:rsid w:val="00C949D4"/>
    <w:rPr>
      <w:rFonts w:cs="Times New Roman"/>
    </w:rPr>
  </w:style>
  <w:style w:type="paragraph" w:styleId="FootnoteText">
    <w:name w:val="footnote text"/>
    <w:basedOn w:val="Normal"/>
    <w:link w:val="FootnoteTextChar"/>
    <w:uiPriority w:val="99"/>
    <w:semiHidden/>
    <w:rsid w:val="0068192A"/>
    <w:pPr>
      <w:suppressAutoHyphens/>
    </w:pPr>
    <w:rPr>
      <w:sz w:val="20"/>
      <w:szCs w:val="20"/>
      <w:lang w:val="en-US" w:eastAsia="ar-SA"/>
    </w:rPr>
  </w:style>
  <w:style w:type="character" w:customStyle="1" w:styleId="FootnoteTextChar">
    <w:name w:val="Footnote Text Char"/>
    <w:basedOn w:val="DefaultParagraphFont"/>
    <w:link w:val="FootnoteText"/>
    <w:uiPriority w:val="99"/>
    <w:semiHidden/>
    <w:locked/>
    <w:rsid w:val="00EC16D1"/>
    <w:rPr>
      <w:rFonts w:cs="Times New Roman"/>
      <w:sz w:val="20"/>
      <w:szCs w:val="20"/>
      <w:lang w:val="en-GB" w:eastAsia="en-GB"/>
    </w:rPr>
  </w:style>
  <w:style w:type="character" w:styleId="FootnoteReference">
    <w:name w:val="footnote reference"/>
    <w:basedOn w:val="DefaultParagraphFont"/>
    <w:uiPriority w:val="99"/>
    <w:semiHidden/>
    <w:rsid w:val="0068192A"/>
    <w:rPr>
      <w:rFonts w:cs="Times New Roman"/>
      <w:vertAlign w:val="superscript"/>
    </w:rPr>
  </w:style>
  <w:style w:type="character" w:styleId="CommentReference">
    <w:name w:val="annotation reference"/>
    <w:basedOn w:val="DefaultParagraphFont"/>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basedOn w:val="DefaultParagraphFont"/>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basedOn w:val="CommentText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basedOn w:val="DefaultParagraphFont"/>
    <w:rsid w:val="00A44F85"/>
    <w:rPr>
      <w:rFonts w:cs="Times New Roman"/>
    </w:rPr>
  </w:style>
  <w:style w:type="character" w:customStyle="1" w:styleId="JuParaChar1">
    <w:name w:val="Ju_Para Char1"/>
    <w:basedOn w:val="DefaultParagraphFont"/>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basedOn w:val="DefaultParagraphFont"/>
    <w:uiPriority w:val="99"/>
    <w:rsid w:val="00E255BF"/>
    <w:rPr>
      <w:rFonts w:cs="Times New Roman"/>
    </w:rPr>
  </w:style>
  <w:style w:type="character" w:customStyle="1" w:styleId="JuParaChar">
    <w:name w:val="Ju_Para Char"/>
    <w:basedOn w:val="DefaultParagraphFont"/>
    <w:rsid w:val="00AB24F9"/>
    <w:rPr>
      <w:rFonts w:cs="Times New Roman"/>
      <w:sz w:val="24"/>
      <w:lang w:val="en-GB" w:eastAsia="fr-FR" w:bidi="ar-SA"/>
    </w:rPr>
  </w:style>
  <w:style w:type="character" w:customStyle="1" w:styleId="JuParaCar">
    <w:name w:val="Ju_Para Car"/>
    <w:basedOn w:val="DefaultParagraphFont"/>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rsid w:val="00143D21"/>
  </w:style>
  <w:style w:type="paragraph" w:styleId="EndnoteText">
    <w:name w:val="endnote text"/>
    <w:basedOn w:val="Normal"/>
    <w:link w:val="EndnoteTextChar"/>
    <w:uiPriority w:val="99"/>
    <w:semiHidden/>
    <w:unhideWhenUsed/>
    <w:rsid w:val="0012184F"/>
    <w:rPr>
      <w:sz w:val="20"/>
      <w:szCs w:val="20"/>
    </w:rPr>
  </w:style>
  <w:style w:type="character" w:customStyle="1" w:styleId="EndnoteTextChar">
    <w:name w:val="Endnote Text Char"/>
    <w:basedOn w:val="DefaultParagraphFont"/>
    <w:link w:val="EndnoteText"/>
    <w:uiPriority w:val="99"/>
    <w:semiHidden/>
    <w:rsid w:val="0012184F"/>
    <w:rPr>
      <w:sz w:val="20"/>
      <w:szCs w:val="20"/>
      <w:lang w:val="en-GB" w:eastAsia="en-GB"/>
    </w:rPr>
  </w:style>
  <w:style w:type="character" w:styleId="EndnoteReference">
    <w:name w:val="endnote reference"/>
    <w:basedOn w:val="DefaultParagraphFont"/>
    <w:uiPriority w:val="99"/>
    <w:semiHidden/>
    <w:unhideWhenUsed/>
    <w:rsid w:val="0012184F"/>
    <w:rPr>
      <w:vertAlign w:val="superscript"/>
    </w:rPr>
  </w:style>
  <w:style w:type="character" w:customStyle="1" w:styleId="FootnoteTextChar1">
    <w:name w:val="Footnote Text Char1"/>
    <w:uiPriority w:val="99"/>
    <w:semiHidden/>
    <w:locked/>
    <w:rsid w:val="00821BDA"/>
    <w:rPr>
      <w:lang w:eastAsia="ar-SA"/>
    </w:rPr>
  </w:style>
  <w:style w:type="character" w:styleId="Hyperlink">
    <w:name w:val="Hyperlink"/>
    <w:unhideWhenUsed/>
    <w:rsid w:val="00A54828"/>
    <w:rPr>
      <w:color w:val="0000FF"/>
      <w:u w:val="single"/>
    </w:rPr>
  </w:style>
  <w:style w:type="paragraph" w:customStyle="1" w:styleId="MediumGrid1-Accent21">
    <w:name w:val="Medium Grid 1 - Accent 21"/>
    <w:basedOn w:val="Normal"/>
    <w:uiPriority w:val="99"/>
    <w:qFormat/>
    <w:rsid w:val="00B47433"/>
    <w:pPr>
      <w:suppressAutoHyphens/>
      <w:ind w:left="720"/>
    </w:pPr>
    <w:rPr>
      <w:lang w:val="en-US" w:eastAsia="ar-SA"/>
    </w:rPr>
  </w:style>
  <w:style w:type="character" w:customStyle="1" w:styleId="s85f22697">
    <w:name w:val="s85f22697"/>
    <w:basedOn w:val="DefaultParagraphFont"/>
    <w:rsid w:val="00B47433"/>
  </w:style>
  <w:style w:type="character" w:customStyle="1" w:styleId="s7d2086b4">
    <w:name w:val="s7d2086b4"/>
    <w:basedOn w:val="DefaultParagraphFont"/>
    <w:rsid w:val="009B3570"/>
  </w:style>
  <w:style w:type="character" w:customStyle="1" w:styleId="sb8d990e2">
    <w:name w:val="sb8d990e2"/>
    <w:basedOn w:val="DefaultParagraphFont"/>
    <w:rsid w:val="00EC6FD7"/>
  </w:style>
  <w:style w:type="character" w:customStyle="1" w:styleId="s6b621b36">
    <w:name w:val="s6b621b36"/>
    <w:basedOn w:val="DefaultParagraphFont"/>
    <w:rsid w:val="00EC6FD7"/>
  </w:style>
  <w:style w:type="character" w:customStyle="1" w:styleId="wordhighlighted">
    <w:name w:val="wordhighlighted"/>
    <w:basedOn w:val="DefaultParagraphFont"/>
    <w:rsid w:val="00EC6FD7"/>
  </w:style>
  <w:style w:type="character" w:customStyle="1" w:styleId="column01">
    <w:name w:val="column01"/>
    <w:basedOn w:val="DefaultParagraphFont"/>
    <w:rsid w:val="00EC6FD7"/>
  </w:style>
  <w:style w:type="character" w:styleId="FollowedHyperlink">
    <w:name w:val="FollowedHyperlink"/>
    <w:basedOn w:val="DefaultParagraphFont"/>
    <w:uiPriority w:val="99"/>
    <w:semiHidden/>
    <w:unhideWhenUsed/>
    <w:rsid w:val="00F47687"/>
    <w:rPr>
      <w:color w:val="800080"/>
      <w:u w:val="single"/>
    </w:rPr>
  </w:style>
  <w:style w:type="paragraph" w:customStyle="1" w:styleId="JuParaCharChar">
    <w:name w:val="Ju_Para Char Char"/>
    <w:basedOn w:val="Normal"/>
    <w:link w:val="JuParaCharCharChar1"/>
    <w:rsid w:val="006F7943"/>
    <w:pPr>
      <w:suppressAutoHyphens/>
      <w:ind w:firstLine="284"/>
      <w:jc w:val="both"/>
    </w:pPr>
    <w:rPr>
      <w:szCs w:val="20"/>
      <w:lang w:eastAsia="fr-FR"/>
    </w:rPr>
  </w:style>
  <w:style w:type="character" w:customStyle="1" w:styleId="JuParaCharCharChar1">
    <w:name w:val="Ju_Para Char Char Char1"/>
    <w:link w:val="JuParaCharChar"/>
    <w:rsid w:val="006F7943"/>
    <w:rPr>
      <w:sz w:val="24"/>
      <w:szCs w:val="20"/>
      <w:lang w:val="en-GB" w:eastAsia="fr-FR"/>
    </w:rPr>
  </w:style>
  <w:style w:type="character" w:styleId="PlaceholderText">
    <w:name w:val="Placeholder Text"/>
    <w:basedOn w:val="DefaultParagraphFont"/>
    <w:uiPriority w:val="99"/>
    <w:semiHidden/>
    <w:rsid w:val="007E5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PAVIĆ, Stana</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047/09</Case_x0020_Number>
    <Type_x0020_of_x0020_Document xmlns="16f2acb5-7363-4076-9084-069fc3bb4325">Opinion</Type_x0020_of_x0020_Document>
    <_dlc_DocId xmlns="b9fab99d-1571-47f6-8995-3a195ef041f8">M5JDUUKXSQ5W-25-810</_dlc_DocId>
    <_dlc_DocIdUrl xmlns="b9fab99d-1571-47f6-8995-3a195ef041f8">
      <Url>http://prod.unmikonline.org/hrap/Eng/_layouts/DocIdRedir.aspx?ID=M5JDUUKXSQ5W-25-810</Url>
      <Description>M5JDUUKXSQ5W-25-810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E4A1-FA83-4D93-BE46-897F35365B6E}"/>
</file>

<file path=customXml/itemProps2.xml><?xml version="1.0" encoding="utf-8"?>
<ds:datastoreItem xmlns:ds="http://schemas.openxmlformats.org/officeDocument/2006/customXml" ds:itemID="{83669C4A-1027-4D75-B0FF-CC153211DA83}"/>
</file>

<file path=customXml/itemProps3.xml><?xml version="1.0" encoding="utf-8"?>
<ds:datastoreItem xmlns:ds="http://schemas.openxmlformats.org/officeDocument/2006/customXml" ds:itemID="{B9F703D6-C189-41A3-8283-E7814C7160BF}"/>
</file>

<file path=customXml/itemProps4.xml><?xml version="1.0" encoding="utf-8"?>
<ds:datastoreItem xmlns:ds="http://schemas.openxmlformats.org/officeDocument/2006/customXml" ds:itemID="{13134FB2-0C80-4535-9149-CEB5B2EC3BB7}"/>
</file>

<file path=customXml/itemProps5.xml><?xml version="1.0" encoding="utf-8"?>
<ds:datastoreItem xmlns:ds="http://schemas.openxmlformats.org/officeDocument/2006/customXml" ds:itemID="{194AE069-0BE9-4114-9D20-F5C40C0D99BE}"/>
</file>

<file path=docProps/app.xml><?xml version="1.0" encoding="utf-8"?>
<Properties xmlns="http://schemas.openxmlformats.org/officeDocument/2006/extended-properties" xmlns:vt="http://schemas.openxmlformats.org/officeDocument/2006/docPropsVTypes">
  <Template>Normal</Template>
  <TotalTime>0</TotalTime>
  <Pages>26</Pages>
  <Words>12778</Words>
  <Characters>72840</Characters>
  <Application>Microsoft Office Word</Application>
  <DocSecurity>0</DocSecurity>
  <Lines>607</Lines>
  <Paragraphs>170</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lpstr>
    </vt:vector>
  </TitlesOfParts>
  <Company>UNMIK</Company>
  <LinksUpToDate>false</LinksUpToDate>
  <CharactersWithSpaces>85448</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2013-08-02T14:33:00Z</cp:lastPrinted>
  <dcterms:created xsi:type="dcterms:W3CDTF">2013-09-10T15:44:00Z</dcterms:created>
  <dcterms:modified xsi:type="dcterms:W3CDTF">2013-09-10T15:44:00Z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461605cc-9952-43d0-bfa3-5c90682dae5c</vt:lpwstr>
  </property>
</Properties>
</file>